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E785D" w14:textId="082B0F38" w:rsidR="004A77F7" w:rsidRPr="009C4EF0" w:rsidRDefault="004A77F7" w:rsidP="0066727E">
      <w:pPr>
        <w:tabs>
          <w:tab w:val="left" w:pos="1134"/>
          <w:tab w:val="right" w:pos="7513"/>
        </w:tabs>
        <w:jc w:val="center"/>
        <w:rPr>
          <w:b/>
        </w:rPr>
      </w:pPr>
      <w:r w:rsidRPr="009C4EF0">
        <w:rPr>
          <w:b/>
        </w:rPr>
        <w:t xml:space="preserve">OBRAZLOŽENJE  IZVRŠENJA FINANCIJSKOG PLANA HRVATSKIH VODA </w:t>
      </w:r>
      <w:r w:rsidR="0070493A">
        <w:rPr>
          <w:b/>
          <w:color w:val="262626"/>
        </w:rPr>
        <w:t>U</w:t>
      </w:r>
      <w:r w:rsidR="00BD66B7">
        <w:rPr>
          <w:b/>
          <w:color w:val="262626"/>
        </w:rPr>
        <w:t xml:space="preserve"> PRVO</w:t>
      </w:r>
      <w:r w:rsidR="0070493A">
        <w:rPr>
          <w:b/>
          <w:color w:val="262626"/>
        </w:rPr>
        <w:t>M</w:t>
      </w:r>
      <w:r w:rsidR="00BD66B7">
        <w:rPr>
          <w:b/>
          <w:color w:val="262626"/>
        </w:rPr>
        <w:t xml:space="preserve"> POLUGODIŠT</w:t>
      </w:r>
      <w:r w:rsidR="0070493A">
        <w:rPr>
          <w:b/>
          <w:color w:val="262626"/>
        </w:rPr>
        <w:t>U</w:t>
      </w:r>
      <w:r w:rsidR="00BD66B7">
        <w:rPr>
          <w:b/>
          <w:color w:val="262626"/>
        </w:rPr>
        <w:t xml:space="preserve"> 2021. GODINE</w:t>
      </w:r>
    </w:p>
    <w:p w14:paraId="59FC3929" w14:textId="77777777" w:rsidR="005F3F48" w:rsidRPr="00CA7B4C" w:rsidRDefault="005F3F48" w:rsidP="0066727E">
      <w:pPr>
        <w:jc w:val="both"/>
        <w:rPr>
          <w:color w:val="FF0000"/>
          <w:sz w:val="20"/>
          <w:szCs w:val="20"/>
        </w:rPr>
      </w:pPr>
    </w:p>
    <w:p w14:paraId="3C29CEA2" w14:textId="77777777" w:rsidR="00FD311A" w:rsidRPr="00CA7B4C" w:rsidRDefault="00FD311A" w:rsidP="0066727E">
      <w:pPr>
        <w:jc w:val="both"/>
        <w:rPr>
          <w:color w:val="FF0000"/>
          <w:sz w:val="20"/>
          <w:szCs w:val="20"/>
        </w:rPr>
      </w:pPr>
    </w:p>
    <w:p w14:paraId="2AE8F68B" w14:textId="77777777" w:rsidR="00FD311A" w:rsidRPr="001672F5" w:rsidRDefault="00700385" w:rsidP="0066727E">
      <w:pPr>
        <w:spacing w:after="120"/>
        <w:jc w:val="both"/>
        <w:rPr>
          <w:b/>
          <w:bCs/>
        </w:rPr>
      </w:pPr>
      <w:r w:rsidRPr="001672F5">
        <w:rPr>
          <w:b/>
          <w:bCs/>
        </w:rPr>
        <w:t>1. RAČUN PRIHODA I RASHODA</w:t>
      </w:r>
    </w:p>
    <w:p w14:paraId="4646F63B" w14:textId="77777777" w:rsidR="005F3F48" w:rsidRPr="00CA7B4C" w:rsidRDefault="00E30CE2" w:rsidP="0066727E">
      <w:pPr>
        <w:jc w:val="both"/>
        <w:rPr>
          <w:lang w:eastAsia="en-US"/>
        </w:rPr>
      </w:pPr>
      <w:r w:rsidRPr="00CA7B4C">
        <w:rPr>
          <w:lang w:eastAsia="en-US"/>
        </w:rPr>
        <w:t xml:space="preserve">U </w:t>
      </w:r>
      <w:r w:rsidR="00E010CB" w:rsidRPr="00CA7B4C">
        <w:rPr>
          <w:lang w:eastAsia="en-US"/>
        </w:rPr>
        <w:t>razdoblju siječanj</w:t>
      </w:r>
      <w:r w:rsidR="00B813AA">
        <w:rPr>
          <w:lang w:eastAsia="en-US"/>
        </w:rPr>
        <w:t xml:space="preserve"> </w:t>
      </w:r>
      <w:r w:rsidR="00E010CB" w:rsidRPr="00CA7B4C">
        <w:rPr>
          <w:lang w:eastAsia="en-US"/>
        </w:rPr>
        <w:t>-</w:t>
      </w:r>
      <w:r w:rsidR="00B813AA">
        <w:rPr>
          <w:lang w:eastAsia="en-US"/>
        </w:rPr>
        <w:t xml:space="preserve"> </w:t>
      </w:r>
      <w:r w:rsidR="00E010CB" w:rsidRPr="00CA7B4C">
        <w:rPr>
          <w:lang w:eastAsia="en-US"/>
        </w:rPr>
        <w:t>lipanj 202</w:t>
      </w:r>
      <w:r w:rsidR="005B2AEA" w:rsidRPr="00CA7B4C">
        <w:rPr>
          <w:lang w:eastAsia="en-US"/>
        </w:rPr>
        <w:t>1</w:t>
      </w:r>
      <w:r w:rsidR="00A30CC8" w:rsidRPr="00CA7B4C">
        <w:rPr>
          <w:lang w:eastAsia="en-US"/>
        </w:rPr>
        <w:t>. godin</w:t>
      </w:r>
      <w:r w:rsidR="00E010CB" w:rsidRPr="00CA7B4C">
        <w:rPr>
          <w:lang w:eastAsia="en-US"/>
        </w:rPr>
        <w:t>e</w:t>
      </w:r>
      <w:r w:rsidRPr="00CA7B4C">
        <w:rPr>
          <w:lang w:eastAsia="en-US"/>
        </w:rPr>
        <w:t xml:space="preserve"> ukupni</w:t>
      </w:r>
      <w:r w:rsidR="005F3F48" w:rsidRPr="00CA7B4C">
        <w:rPr>
          <w:lang w:eastAsia="en-US"/>
        </w:rPr>
        <w:t xml:space="preserve"> pri</w:t>
      </w:r>
      <w:r w:rsidR="009153A2" w:rsidRPr="00CA7B4C">
        <w:rPr>
          <w:lang w:eastAsia="en-US"/>
        </w:rPr>
        <w:t>hodi</w:t>
      </w:r>
      <w:r w:rsidRPr="00CA7B4C">
        <w:rPr>
          <w:lang w:eastAsia="en-US"/>
        </w:rPr>
        <w:t xml:space="preserve"> su</w:t>
      </w:r>
      <w:r w:rsidR="009153A2" w:rsidRPr="00CA7B4C">
        <w:rPr>
          <w:lang w:eastAsia="en-US"/>
        </w:rPr>
        <w:t xml:space="preserve"> ostvareni u iznosu o</w:t>
      </w:r>
      <w:r w:rsidR="000575BD" w:rsidRPr="00CA7B4C">
        <w:rPr>
          <w:lang w:eastAsia="en-US"/>
        </w:rPr>
        <w:t xml:space="preserve">d </w:t>
      </w:r>
      <w:r w:rsidR="00E010CB" w:rsidRPr="00CA7B4C">
        <w:rPr>
          <w:lang w:eastAsia="en-US"/>
        </w:rPr>
        <w:t>1</w:t>
      </w:r>
      <w:r w:rsidR="00A30CC8" w:rsidRPr="00CA7B4C">
        <w:rPr>
          <w:lang w:eastAsia="en-US"/>
        </w:rPr>
        <w:t>.</w:t>
      </w:r>
      <w:r w:rsidR="005B2AEA" w:rsidRPr="00CA7B4C">
        <w:rPr>
          <w:lang w:eastAsia="en-US"/>
        </w:rPr>
        <w:t>906.852.858</w:t>
      </w:r>
      <w:r w:rsidR="000575BD" w:rsidRPr="00CA7B4C">
        <w:rPr>
          <w:lang w:eastAsia="en-US"/>
        </w:rPr>
        <w:t xml:space="preserve"> kn</w:t>
      </w:r>
      <w:r w:rsidR="001763C6" w:rsidRPr="00CA7B4C">
        <w:rPr>
          <w:lang w:eastAsia="en-US"/>
        </w:rPr>
        <w:t>, 44,93</w:t>
      </w:r>
      <w:r w:rsidR="00EC16ED" w:rsidRPr="00CA7B4C">
        <w:rPr>
          <w:lang w:eastAsia="en-US"/>
        </w:rPr>
        <w:t>% više u odnosu na isto razdoblje prošle godine,</w:t>
      </w:r>
      <w:r w:rsidR="000575BD" w:rsidRPr="00CA7B4C">
        <w:rPr>
          <w:lang w:eastAsia="en-US"/>
        </w:rPr>
        <w:t xml:space="preserve"> sa inde</w:t>
      </w:r>
      <w:r w:rsidR="00DB25BF" w:rsidRPr="00CA7B4C">
        <w:rPr>
          <w:lang w:eastAsia="en-US"/>
        </w:rPr>
        <w:t>ks</w:t>
      </w:r>
      <w:r w:rsidR="000575BD" w:rsidRPr="00CA7B4C">
        <w:rPr>
          <w:lang w:eastAsia="en-US"/>
        </w:rPr>
        <w:t xml:space="preserve">om </w:t>
      </w:r>
      <w:r w:rsidR="005B2AEA" w:rsidRPr="00CA7B4C">
        <w:rPr>
          <w:lang w:eastAsia="en-US"/>
        </w:rPr>
        <w:t>44,73</w:t>
      </w:r>
      <w:r w:rsidR="00CA76AD" w:rsidRPr="00CA7B4C">
        <w:rPr>
          <w:lang w:eastAsia="en-US"/>
        </w:rPr>
        <w:t xml:space="preserve"> </w:t>
      </w:r>
      <w:r w:rsidR="00A4354F" w:rsidRPr="00CA7B4C">
        <w:rPr>
          <w:lang w:eastAsia="en-US"/>
        </w:rPr>
        <w:t>u odnosu na plan</w:t>
      </w:r>
      <w:r w:rsidR="001311F5" w:rsidRPr="00CA7B4C">
        <w:rPr>
          <w:lang w:eastAsia="en-US"/>
        </w:rPr>
        <w:t>irano</w:t>
      </w:r>
      <w:r w:rsidR="00A4354F" w:rsidRPr="00CA7B4C">
        <w:rPr>
          <w:lang w:eastAsia="en-US"/>
        </w:rPr>
        <w:t xml:space="preserve">. </w:t>
      </w:r>
      <w:r w:rsidR="001E1E3A" w:rsidRPr="00CA7B4C">
        <w:rPr>
          <w:lang w:eastAsia="en-US"/>
        </w:rPr>
        <w:t>Ukupni rashodi</w:t>
      </w:r>
      <w:r w:rsidR="005F3F48" w:rsidRPr="00CA7B4C">
        <w:rPr>
          <w:lang w:eastAsia="en-US"/>
        </w:rPr>
        <w:t xml:space="preserve"> </w:t>
      </w:r>
      <w:r w:rsidR="009153A2" w:rsidRPr="00CA7B4C">
        <w:rPr>
          <w:lang w:eastAsia="en-US"/>
        </w:rPr>
        <w:t xml:space="preserve">su realizirani u visini od </w:t>
      </w:r>
      <w:r w:rsidR="00003D7E" w:rsidRPr="00CA7B4C">
        <w:rPr>
          <w:lang w:eastAsia="en-US"/>
        </w:rPr>
        <w:t>1.</w:t>
      </w:r>
      <w:r w:rsidR="005B2AEA" w:rsidRPr="00CA7B4C">
        <w:rPr>
          <w:lang w:eastAsia="en-US"/>
        </w:rPr>
        <w:t>936.762.644</w:t>
      </w:r>
      <w:r w:rsidRPr="00CA7B4C">
        <w:rPr>
          <w:lang w:eastAsia="en-US"/>
        </w:rPr>
        <w:t xml:space="preserve"> </w:t>
      </w:r>
      <w:r w:rsidR="005F3F48" w:rsidRPr="00CA7B4C">
        <w:rPr>
          <w:lang w:eastAsia="en-US"/>
        </w:rPr>
        <w:t>kn</w:t>
      </w:r>
      <w:r w:rsidR="00A30CC8" w:rsidRPr="00CA7B4C">
        <w:rPr>
          <w:lang w:eastAsia="en-US"/>
        </w:rPr>
        <w:t xml:space="preserve">, </w:t>
      </w:r>
      <w:r w:rsidR="001763C6" w:rsidRPr="00CA7B4C">
        <w:rPr>
          <w:lang w:eastAsia="en-US"/>
        </w:rPr>
        <w:t>31,97</w:t>
      </w:r>
      <w:r w:rsidR="00A30CC8" w:rsidRPr="00CA7B4C">
        <w:rPr>
          <w:lang w:eastAsia="en-US"/>
        </w:rPr>
        <w:t xml:space="preserve">% više u odnosu na isto razdoblje prošle godine, a u odnosu na plan indeksom od </w:t>
      </w:r>
      <w:r w:rsidR="00003D7E" w:rsidRPr="00CA7B4C">
        <w:rPr>
          <w:lang w:eastAsia="en-US"/>
        </w:rPr>
        <w:t>4</w:t>
      </w:r>
      <w:r w:rsidR="005B2AEA" w:rsidRPr="00CA7B4C">
        <w:rPr>
          <w:lang w:eastAsia="en-US"/>
        </w:rPr>
        <w:t>4,31.</w:t>
      </w:r>
      <w:r w:rsidR="005F3F48" w:rsidRPr="00CA7B4C">
        <w:rPr>
          <w:color w:val="FF0000"/>
          <w:lang w:eastAsia="en-US"/>
        </w:rPr>
        <w:t xml:space="preserve"> </w:t>
      </w:r>
    </w:p>
    <w:p w14:paraId="2B611711" w14:textId="77777777" w:rsidR="000C7CBC" w:rsidRPr="00CA7B4C" w:rsidRDefault="000C7CBC" w:rsidP="0066727E">
      <w:pPr>
        <w:jc w:val="both"/>
        <w:rPr>
          <w:color w:val="FF0000"/>
          <w:lang w:eastAsia="en-US"/>
        </w:rPr>
      </w:pPr>
    </w:p>
    <w:p w14:paraId="46BEB4A7" w14:textId="77777777" w:rsidR="005F3F48" w:rsidRPr="00A611D9" w:rsidRDefault="005F3F48" w:rsidP="0066727E">
      <w:pPr>
        <w:jc w:val="both"/>
        <w:rPr>
          <w:lang w:eastAsia="en-US"/>
        </w:rPr>
      </w:pPr>
      <w:r w:rsidRPr="00A611D9">
        <w:rPr>
          <w:lang w:eastAsia="en-US"/>
        </w:rPr>
        <w:t>U strukturi ostvarenih pr</w:t>
      </w:r>
      <w:r w:rsidR="009153A2" w:rsidRPr="00A611D9">
        <w:rPr>
          <w:lang w:eastAsia="en-US"/>
        </w:rPr>
        <w:t>ihoda izvorna sredstva</w:t>
      </w:r>
      <w:r w:rsidR="007A2A58" w:rsidRPr="00A611D9">
        <w:rPr>
          <w:lang w:eastAsia="en-US"/>
        </w:rPr>
        <w:t xml:space="preserve"> </w:t>
      </w:r>
      <w:r w:rsidR="005B2AEA" w:rsidRPr="00A611D9">
        <w:rPr>
          <w:lang w:eastAsia="en-US"/>
        </w:rPr>
        <w:t>(vodne naknade)</w:t>
      </w:r>
      <w:r w:rsidR="009153A2" w:rsidRPr="00A611D9">
        <w:rPr>
          <w:lang w:eastAsia="en-US"/>
        </w:rPr>
        <w:t xml:space="preserve"> čine </w:t>
      </w:r>
      <w:r w:rsidR="005B2AEA" w:rsidRPr="00A611D9">
        <w:rPr>
          <w:lang w:eastAsia="en-US"/>
        </w:rPr>
        <w:t>47</w:t>
      </w:r>
      <w:r w:rsidRPr="00A611D9">
        <w:rPr>
          <w:lang w:eastAsia="en-US"/>
        </w:rPr>
        <w:t>%</w:t>
      </w:r>
      <w:r w:rsidR="00DE1F75" w:rsidRPr="00A611D9">
        <w:rPr>
          <w:lang w:eastAsia="en-US"/>
        </w:rPr>
        <w:t>, sredstva d</w:t>
      </w:r>
      <w:r w:rsidR="00A4354F" w:rsidRPr="00A611D9">
        <w:rPr>
          <w:lang w:eastAsia="en-US"/>
        </w:rPr>
        <w:t xml:space="preserve">ržavnog proračuna </w:t>
      </w:r>
      <w:r w:rsidR="005B2AEA" w:rsidRPr="00A611D9">
        <w:rPr>
          <w:lang w:eastAsia="en-US"/>
        </w:rPr>
        <w:t>48</w:t>
      </w:r>
      <w:r w:rsidR="009153A2" w:rsidRPr="00A611D9">
        <w:rPr>
          <w:lang w:eastAsia="en-US"/>
        </w:rPr>
        <w:t>%, a svi ostali prihodi</w:t>
      </w:r>
      <w:r w:rsidR="001E1E3A" w:rsidRPr="00A611D9">
        <w:rPr>
          <w:lang w:eastAsia="en-US"/>
        </w:rPr>
        <w:t xml:space="preserve"> </w:t>
      </w:r>
      <w:r w:rsidR="00205086" w:rsidRPr="00A611D9">
        <w:rPr>
          <w:lang w:eastAsia="en-US"/>
        </w:rPr>
        <w:t>5</w:t>
      </w:r>
      <w:r w:rsidR="00567D80" w:rsidRPr="00A611D9">
        <w:rPr>
          <w:lang w:eastAsia="en-US"/>
        </w:rPr>
        <w:t>%.</w:t>
      </w:r>
      <w:r w:rsidRPr="00A611D9">
        <w:rPr>
          <w:lang w:eastAsia="en-US"/>
        </w:rPr>
        <w:t xml:space="preserve"> </w:t>
      </w:r>
    </w:p>
    <w:p w14:paraId="1D253D77" w14:textId="77777777" w:rsidR="000575BD" w:rsidRPr="00CA7B4C" w:rsidRDefault="000575BD" w:rsidP="0066727E">
      <w:pPr>
        <w:jc w:val="both"/>
        <w:rPr>
          <w:color w:val="FF0000"/>
          <w:lang w:eastAsia="en-US"/>
        </w:rPr>
      </w:pPr>
    </w:p>
    <w:p w14:paraId="38B3CD0E" w14:textId="77777777" w:rsidR="00934589" w:rsidRPr="00CA7B4C" w:rsidRDefault="007D0796" w:rsidP="0066727E">
      <w:pPr>
        <w:jc w:val="both"/>
        <w:rPr>
          <w:lang w:eastAsia="en-US"/>
        </w:rPr>
      </w:pPr>
      <w:r w:rsidRPr="00CA7B4C">
        <w:rPr>
          <w:lang w:eastAsia="en-US"/>
        </w:rPr>
        <w:t>Prihodi poslo</w:t>
      </w:r>
      <w:r w:rsidR="00205086" w:rsidRPr="00CA7B4C">
        <w:rPr>
          <w:lang w:eastAsia="en-US"/>
        </w:rPr>
        <w:t>vanj</w:t>
      </w:r>
      <w:r w:rsidR="005B2AEA" w:rsidRPr="00CA7B4C">
        <w:rPr>
          <w:lang w:eastAsia="en-US"/>
        </w:rPr>
        <w:t xml:space="preserve">a ostvareni su u iznosu od </w:t>
      </w:r>
      <w:r w:rsidR="005B2AEA" w:rsidRPr="00B813AA">
        <w:rPr>
          <w:lang w:eastAsia="en-US"/>
        </w:rPr>
        <w:t>1.906.794.922</w:t>
      </w:r>
      <w:r w:rsidR="00A93515" w:rsidRPr="00B813AA">
        <w:rPr>
          <w:lang w:eastAsia="en-US"/>
        </w:rPr>
        <w:t xml:space="preserve"> </w:t>
      </w:r>
      <w:r w:rsidRPr="00B813AA">
        <w:rPr>
          <w:lang w:eastAsia="en-US"/>
        </w:rPr>
        <w:t>kn.</w:t>
      </w:r>
      <w:r w:rsidR="00934589" w:rsidRPr="00CA7B4C">
        <w:rPr>
          <w:lang w:eastAsia="en-US"/>
        </w:rPr>
        <w:t xml:space="preserve"> </w:t>
      </w:r>
    </w:p>
    <w:p w14:paraId="4739DA59" w14:textId="77777777" w:rsidR="0066727E" w:rsidRDefault="0066727E" w:rsidP="0066727E">
      <w:pPr>
        <w:jc w:val="both"/>
        <w:rPr>
          <w:b/>
          <w:lang w:eastAsia="en-US"/>
        </w:rPr>
      </w:pPr>
    </w:p>
    <w:p w14:paraId="64CE6F38" w14:textId="4F8BF4C4" w:rsidR="00934589" w:rsidRPr="00CA7B4C" w:rsidRDefault="00934589" w:rsidP="0066727E">
      <w:pPr>
        <w:jc w:val="both"/>
        <w:rPr>
          <w:lang w:eastAsia="en-US"/>
        </w:rPr>
      </w:pPr>
      <w:r w:rsidRPr="00CA7B4C">
        <w:rPr>
          <w:b/>
          <w:lang w:eastAsia="en-US"/>
        </w:rPr>
        <w:t>Prihodi od pomoći iz inozemstva (darovnice) i od subjekata unutar općeg proračuna</w:t>
      </w:r>
      <w:r w:rsidRPr="00CA7B4C">
        <w:rPr>
          <w:lang w:eastAsia="en-US"/>
        </w:rPr>
        <w:t xml:space="preserve"> </w:t>
      </w:r>
      <w:r w:rsidR="00E0595E" w:rsidRPr="00CA7B4C">
        <w:rPr>
          <w:lang w:eastAsia="en-US"/>
        </w:rPr>
        <w:t>ostvareni</w:t>
      </w:r>
      <w:r w:rsidR="00205086" w:rsidRPr="00CA7B4C">
        <w:rPr>
          <w:lang w:eastAsia="en-US"/>
        </w:rPr>
        <w:t xml:space="preserve"> su u iznosu od </w:t>
      </w:r>
      <w:r w:rsidR="005B2AEA" w:rsidRPr="00CA7B4C">
        <w:rPr>
          <w:lang w:eastAsia="en-US"/>
        </w:rPr>
        <w:t>909.460.999</w:t>
      </w:r>
      <w:r w:rsidRPr="00CA7B4C">
        <w:rPr>
          <w:lang w:eastAsia="en-US"/>
        </w:rPr>
        <w:t xml:space="preserve"> kn s inde</w:t>
      </w:r>
      <w:r w:rsidR="007649AA" w:rsidRPr="00CA7B4C">
        <w:rPr>
          <w:lang w:eastAsia="en-US"/>
        </w:rPr>
        <w:t>ks</w:t>
      </w:r>
      <w:r w:rsidR="007F4933" w:rsidRPr="00CA7B4C">
        <w:rPr>
          <w:lang w:eastAsia="en-US"/>
        </w:rPr>
        <w:t xml:space="preserve">om </w:t>
      </w:r>
      <w:r w:rsidR="005B2AEA" w:rsidRPr="00CA7B4C">
        <w:rPr>
          <w:lang w:eastAsia="en-US"/>
        </w:rPr>
        <w:t>43,73</w:t>
      </w:r>
      <w:r w:rsidR="007649AA" w:rsidRPr="00CA7B4C">
        <w:rPr>
          <w:lang w:eastAsia="en-US"/>
        </w:rPr>
        <w:t xml:space="preserve">, </w:t>
      </w:r>
      <w:r w:rsidR="005B2AEA" w:rsidRPr="00CA7B4C">
        <w:rPr>
          <w:lang w:eastAsia="en-US"/>
        </w:rPr>
        <w:t>120</w:t>
      </w:r>
      <w:r w:rsidR="00B813AA">
        <w:rPr>
          <w:lang w:eastAsia="en-US"/>
        </w:rPr>
        <w:t>,51</w:t>
      </w:r>
      <w:r w:rsidR="00FE7897" w:rsidRPr="00CA7B4C">
        <w:rPr>
          <w:lang w:eastAsia="en-US"/>
        </w:rPr>
        <w:t>% v</w:t>
      </w:r>
      <w:r w:rsidR="005B2AEA" w:rsidRPr="00CA7B4C">
        <w:rPr>
          <w:lang w:eastAsia="en-US"/>
        </w:rPr>
        <w:t>iše u odnosu na ostvarenje u 2020</w:t>
      </w:r>
      <w:r w:rsidR="00FE7897" w:rsidRPr="00CA7B4C">
        <w:rPr>
          <w:lang w:eastAsia="en-US"/>
        </w:rPr>
        <w:t xml:space="preserve">. godini kada su </w:t>
      </w:r>
      <w:r w:rsidR="00205086" w:rsidRPr="00CA7B4C">
        <w:rPr>
          <w:lang w:eastAsia="en-US"/>
        </w:rPr>
        <w:t xml:space="preserve">iznosili </w:t>
      </w:r>
      <w:r w:rsidR="005B2AEA" w:rsidRPr="00CA7B4C">
        <w:rPr>
          <w:lang w:eastAsia="en-US"/>
        </w:rPr>
        <w:t>412.435.095</w:t>
      </w:r>
      <w:r w:rsidRPr="00CA7B4C">
        <w:rPr>
          <w:lang w:eastAsia="en-US"/>
        </w:rPr>
        <w:t xml:space="preserve"> kn.</w:t>
      </w:r>
    </w:p>
    <w:p w14:paraId="61CD4F74" w14:textId="77777777" w:rsidR="0066727E" w:rsidRDefault="0066727E" w:rsidP="0066727E">
      <w:pPr>
        <w:autoSpaceDE w:val="0"/>
        <w:autoSpaceDN w:val="0"/>
        <w:adjustRightInd w:val="0"/>
        <w:jc w:val="both"/>
        <w:rPr>
          <w:b/>
          <w:lang w:eastAsia="en-US"/>
        </w:rPr>
      </w:pPr>
    </w:p>
    <w:p w14:paraId="5E8DAF14" w14:textId="2C5F5F07" w:rsidR="00934589" w:rsidRPr="00CA7B4C" w:rsidRDefault="00934589" w:rsidP="0066727E">
      <w:pPr>
        <w:autoSpaceDE w:val="0"/>
        <w:autoSpaceDN w:val="0"/>
        <w:adjustRightInd w:val="0"/>
        <w:jc w:val="both"/>
        <w:rPr>
          <w:lang w:eastAsia="en-US"/>
        </w:rPr>
      </w:pPr>
      <w:r w:rsidRPr="00CA7B4C">
        <w:rPr>
          <w:b/>
          <w:lang w:eastAsia="en-US"/>
        </w:rPr>
        <w:t>Tekuće pomoći od međunarodnih organizacija te institucija i tijela EU</w:t>
      </w:r>
      <w:r w:rsidRPr="00CA7B4C">
        <w:rPr>
          <w:lang w:eastAsia="en-US"/>
        </w:rPr>
        <w:t xml:space="preserve"> os</w:t>
      </w:r>
      <w:r w:rsidR="00D82CC0" w:rsidRPr="00CA7B4C">
        <w:rPr>
          <w:lang w:eastAsia="en-US"/>
        </w:rPr>
        <w:t xml:space="preserve">tvarene su u ukupnom iznosu od </w:t>
      </w:r>
      <w:r w:rsidR="005B2AEA" w:rsidRPr="00CA7B4C">
        <w:rPr>
          <w:lang w:eastAsia="en-US"/>
        </w:rPr>
        <w:t>2.772.839</w:t>
      </w:r>
      <w:r w:rsidRPr="00CA7B4C">
        <w:rPr>
          <w:lang w:eastAsia="en-US"/>
        </w:rPr>
        <w:t xml:space="preserve"> kn, a odnose se na EU donacije prekogranične suradnje Hrvatska</w:t>
      </w:r>
      <w:r w:rsidR="00806590">
        <w:rPr>
          <w:lang w:eastAsia="en-US"/>
        </w:rPr>
        <w:t xml:space="preserve"> </w:t>
      </w:r>
      <w:r w:rsidRPr="00CA7B4C">
        <w:rPr>
          <w:lang w:eastAsia="en-US"/>
        </w:rPr>
        <w:t>-</w:t>
      </w:r>
      <w:r w:rsidR="00806590">
        <w:rPr>
          <w:lang w:eastAsia="en-US"/>
        </w:rPr>
        <w:t xml:space="preserve"> </w:t>
      </w:r>
      <w:r w:rsidRPr="00CA7B4C">
        <w:rPr>
          <w:lang w:eastAsia="en-US"/>
        </w:rPr>
        <w:t>Srbija, Mađarska i Slovenija.</w:t>
      </w:r>
    </w:p>
    <w:p w14:paraId="31335D3A" w14:textId="77777777" w:rsidR="0066727E" w:rsidRDefault="0066727E" w:rsidP="0066727E">
      <w:pPr>
        <w:autoSpaceDE w:val="0"/>
        <w:autoSpaceDN w:val="0"/>
        <w:adjustRightInd w:val="0"/>
        <w:jc w:val="both"/>
        <w:rPr>
          <w:b/>
          <w:lang w:eastAsia="en-US"/>
        </w:rPr>
      </w:pPr>
    </w:p>
    <w:p w14:paraId="7C827624" w14:textId="2E55EB5F" w:rsidR="00934589" w:rsidRPr="00CA7B4C" w:rsidRDefault="00934589" w:rsidP="0066727E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CA7B4C">
        <w:rPr>
          <w:b/>
          <w:lang w:eastAsia="en-US"/>
        </w:rPr>
        <w:t xml:space="preserve">Pomoći proračunu iz drugih proračuna </w:t>
      </w:r>
      <w:r w:rsidRPr="00CA7B4C">
        <w:rPr>
          <w:lang w:eastAsia="en-US"/>
        </w:rPr>
        <w:t>ostvarene</w:t>
      </w:r>
      <w:r w:rsidR="00110EA1" w:rsidRPr="00CA7B4C">
        <w:rPr>
          <w:lang w:eastAsia="en-US"/>
        </w:rPr>
        <w:t xml:space="preserve"> su iznosom od </w:t>
      </w:r>
      <w:r w:rsidR="00FC62CF" w:rsidRPr="00CA7B4C">
        <w:rPr>
          <w:lang w:eastAsia="en-US"/>
        </w:rPr>
        <w:t>133.663.471</w:t>
      </w:r>
      <w:r w:rsidR="00611F3D" w:rsidRPr="00CA7B4C">
        <w:rPr>
          <w:lang w:eastAsia="en-US"/>
        </w:rPr>
        <w:t xml:space="preserve"> kn</w:t>
      </w:r>
      <w:r w:rsidR="00005AEA" w:rsidRPr="00CA7B4C">
        <w:t xml:space="preserve"> </w:t>
      </w:r>
      <w:r w:rsidR="00005AEA" w:rsidRPr="00CA7B4C">
        <w:rPr>
          <w:lang w:eastAsia="en-US"/>
        </w:rPr>
        <w:t>s indeksom 47,52 u odnosu na planirano</w:t>
      </w:r>
      <w:r w:rsidR="00611F3D" w:rsidRPr="00CA7B4C">
        <w:rPr>
          <w:lang w:eastAsia="en-US"/>
        </w:rPr>
        <w:t>. Sastoje se od k</w:t>
      </w:r>
      <w:r w:rsidRPr="00CA7B4C">
        <w:rPr>
          <w:lang w:eastAsia="en-US"/>
        </w:rPr>
        <w:t>apitaln</w:t>
      </w:r>
      <w:r w:rsidR="00611F3D" w:rsidRPr="00CA7B4C">
        <w:rPr>
          <w:lang w:eastAsia="en-US"/>
        </w:rPr>
        <w:t>ih</w:t>
      </w:r>
      <w:r w:rsidRPr="00CA7B4C">
        <w:rPr>
          <w:lang w:eastAsia="en-US"/>
        </w:rPr>
        <w:t xml:space="preserve"> pomoći</w:t>
      </w:r>
      <w:r w:rsidR="00611F3D" w:rsidRPr="00CA7B4C">
        <w:rPr>
          <w:lang w:eastAsia="en-US"/>
        </w:rPr>
        <w:t xml:space="preserve"> proračunu</w:t>
      </w:r>
      <w:r w:rsidRPr="00CA7B4C">
        <w:rPr>
          <w:lang w:eastAsia="en-US"/>
        </w:rPr>
        <w:t xml:space="preserve"> iz državnog proračuna </w:t>
      </w:r>
      <w:r w:rsidR="00611F3D" w:rsidRPr="00CA7B4C">
        <w:rPr>
          <w:lang w:eastAsia="en-US"/>
        </w:rPr>
        <w:t xml:space="preserve">koje su </w:t>
      </w:r>
      <w:r w:rsidRPr="00CA7B4C">
        <w:rPr>
          <w:lang w:eastAsia="en-US"/>
        </w:rPr>
        <w:t>o</w:t>
      </w:r>
      <w:r w:rsidR="00D82CC0" w:rsidRPr="00CA7B4C">
        <w:rPr>
          <w:lang w:eastAsia="en-US"/>
        </w:rPr>
        <w:t xml:space="preserve">stvarene u ukupnom </w:t>
      </w:r>
      <w:r w:rsidR="00B66D5B" w:rsidRPr="00CA7B4C">
        <w:rPr>
          <w:lang w:eastAsia="en-US"/>
        </w:rPr>
        <w:t xml:space="preserve">iznosu od </w:t>
      </w:r>
      <w:r w:rsidR="00FC62CF" w:rsidRPr="00CA7B4C">
        <w:rPr>
          <w:lang w:eastAsia="en-US"/>
        </w:rPr>
        <w:t>123.454.173</w:t>
      </w:r>
      <w:r w:rsidR="00B92E55" w:rsidRPr="00CA7B4C">
        <w:rPr>
          <w:lang w:eastAsia="en-US"/>
        </w:rPr>
        <w:t xml:space="preserve"> kn</w:t>
      </w:r>
      <w:r w:rsidR="006B3DB3" w:rsidRPr="00CA7B4C">
        <w:rPr>
          <w:lang w:eastAsia="en-US"/>
        </w:rPr>
        <w:t xml:space="preserve">. Sa razdjela </w:t>
      </w:r>
      <w:r w:rsidRPr="00CA7B4C">
        <w:rPr>
          <w:lang w:eastAsia="en-US"/>
        </w:rPr>
        <w:t xml:space="preserve">Ministarstva zaštite okoliša i energetike kroz učešće državnog proračuna </w:t>
      </w:r>
      <w:r w:rsidR="0025582F" w:rsidRPr="00CA7B4C">
        <w:rPr>
          <w:lang w:eastAsia="en-US"/>
        </w:rPr>
        <w:t xml:space="preserve">povučeno je </w:t>
      </w:r>
      <w:r w:rsidRPr="00CA7B4C">
        <w:rPr>
          <w:lang w:eastAsia="en-US"/>
        </w:rPr>
        <w:t>za EU</w:t>
      </w:r>
      <w:r w:rsidR="0025582F" w:rsidRPr="00CA7B4C">
        <w:rPr>
          <w:lang w:eastAsia="en-US"/>
        </w:rPr>
        <w:t xml:space="preserve"> </w:t>
      </w:r>
      <w:proofErr w:type="spellStart"/>
      <w:r w:rsidR="0025582F" w:rsidRPr="00CA7B4C">
        <w:rPr>
          <w:lang w:eastAsia="en-US"/>
        </w:rPr>
        <w:t>vodnokomunalne</w:t>
      </w:r>
      <w:proofErr w:type="spellEnd"/>
      <w:r w:rsidRPr="00CA7B4C">
        <w:rPr>
          <w:lang w:eastAsia="en-US"/>
        </w:rPr>
        <w:t xml:space="preserve"> projekte </w:t>
      </w:r>
      <w:r w:rsidR="0025582F" w:rsidRPr="00CA7B4C">
        <w:rPr>
          <w:lang w:eastAsia="en-US"/>
        </w:rPr>
        <w:t>122.678.975</w:t>
      </w:r>
      <w:r w:rsidR="00E75D4F" w:rsidRPr="00CA7B4C">
        <w:rPr>
          <w:lang w:eastAsia="en-US"/>
        </w:rPr>
        <w:t xml:space="preserve"> </w:t>
      </w:r>
      <w:r w:rsidRPr="00CA7B4C">
        <w:rPr>
          <w:lang w:eastAsia="en-US"/>
        </w:rPr>
        <w:t>kn, za nacionalni projekt</w:t>
      </w:r>
      <w:r w:rsidR="00D82CC0" w:rsidRPr="00CA7B4C">
        <w:rPr>
          <w:lang w:eastAsia="en-US"/>
        </w:rPr>
        <w:t xml:space="preserve"> navodnjavanja povučeno je </w:t>
      </w:r>
      <w:r w:rsidR="0025582F" w:rsidRPr="00CA7B4C">
        <w:rPr>
          <w:lang w:eastAsia="en-US"/>
        </w:rPr>
        <w:t>375.078</w:t>
      </w:r>
      <w:r w:rsidRPr="00CA7B4C">
        <w:rPr>
          <w:lang w:eastAsia="en-US"/>
        </w:rPr>
        <w:t xml:space="preserve"> kn, te za I</w:t>
      </w:r>
      <w:r w:rsidR="006B3DB3" w:rsidRPr="00CA7B4C">
        <w:rPr>
          <w:lang w:eastAsia="en-US"/>
        </w:rPr>
        <w:t xml:space="preserve">PA </w:t>
      </w:r>
      <w:r w:rsidRPr="00CA7B4C">
        <w:rPr>
          <w:lang w:eastAsia="en-US"/>
        </w:rPr>
        <w:t>projek</w:t>
      </w:r>
      <w:r w:rsidR="0025582F" w:rsidRPr="00CA7B4C">
        <w:rPr>
          <w:lang w:eastAsia="en-US"/>
        </w:rPr>
        <w:t xml:space="preserve">t </w:t>
      </w:r>
      <w:r w:rsidR="006B3DB3" w:rsidRPr="00CA7B4C">
        <w:rPr>
          <w:lang w:eastAsia="en-US"/>
        </w:rPr>
        <w:t>Kn</w:t>
      </w:r>
      <w:r w:rsidRPr="00CA7B4C">
        <w:rPr>
          <w:lang w:eastAsia="en-US"/>
        </w:rPr>
        <w:t>i</w:t>
      </w:r>
      <w:r w:rsidR="006B3DB3" w:rsidRPr="00CA7B4C">
        <w:rPr>
          <w:lang w:eastAsia="en-US"/>
        </w:rPr>
        <w:t>n</w:t>
      </w:r>
      <w:r w:rsidR="0025582F" w:rsidRPr="00CA7B4C">
        <w:rPr>
          <w:lang w:eastAsia="en-US"/>
        </w:rPr>
        <w:t xml:space="preserve"> 400.12</w:t>
      </w:r>
      <w:r w:rsidR="00B42F94" w:rsidRPr="00CA7B4C">
        <w:rPr>
          <w:lang w:eastAsia="en-US"/>
        </w:rPr>
        <w:t>0</w:t>
      </w:r>
      <w:r w:rsidR="00E75D4F" w:rsidRPr="00CA7B4C">
        <w:rPr>
          <w:lang w:eastAsia="en-US"/>
        </w:rPr>
        <w:t xml:space="preserve"> </w:t>
      </w:r>
      <w:r w:rsidRPr="00CA7B4C">
        <w:rPr>
          <w:lang w:eastAsia="en-US"/>
        </w:rPr>
        <w:t>kn.</w:t>
      </w:r>
    </w:p>
    <w:p w14:paraId="33FB4827" w14:textId="4F83BC63" w:rsidR="00611F3D" w:rsidRDefault="00611F3D" w:rsidP="0066727E">
      <w:pPr>
        <w:autoSpaceDE w:val="0"/>
        <w:autoSpaceDN w:val="0"/>
        <w:adjustRightInd w:val="0"/>
        <w:jc w:val="both"/>
        <w:rPr>
          <w:lang w:eastAsia="en-US"/>
        </w:rPr>
      </w:pPr>
      <w:r w:rsidRPr="00CA7B4C">
        <w:rPr>
          <w:lang w:eastAsia="en-US"/>
        </w:rPr>
        <w:t>Kapitalne pomoći proračunu iz proračuna lokalne i regionalne sam</w:t>
      </w:r>
      <w:r w:rsidR="0025582F" w:rsidRPr="00CA7B4C">
        <w:rPr>
          <w:lang w:eastAsia="en-US"/>
        </w:rPr>
        <w:t>ouprave ostvarene su u iznosu 10.209.298</w:t>
      </w:r>
      <w:r w:rsidR="00A93515" w:rsidRPr="00CA7B4C">
        <w:rPr>
          <w:lang w:eastAsia="en-US"/>
        </w:rPr>
        <w:t xml:space="preserve"> </w:t>
      </w:r>
      <w:r w:rsidR="0025582F" w:rsidRPr="00CA7B4C">
        <w:rPr>
          <w:lang w:eastAsia="en-US"/>
        </w:rPr>
        <w:t>kn</w:t>
      </w:r>
      <w:r w:rsidRPr="00F6009F">
        <w:rPr>
          <w:lang w:eastAsia="en-US"/>
        </w:rPr>
        <w:t xml:space="preserve">, </w:t>
      </w:r>
      <w:r w:rsidR="00110EA1" w:rsidRPr="00F6009F">
        <w:rPr>
          <w:lang w:eastAsia="en-US"/>
        </w:rPr>
        <w:t xml:space="preserve">a </w:t>
      </w:r>
      <w:r w:rsidRPr="00F6009F">
        <w:rPr>
          <w:lang w:eastAsia="en-US"/>
        </w:rPr>
        <w:t>odnos</w:t>
      </w:r>
      <w:r w:rsidR="00465B52" w:rsidRPr="00F6009F">
        <w:rPr>
          <w:lang w:eastAsia="en-US"/>
        </w:rPr>
        <w:t>e se</w:t>
      </w:r>
      <w:r w:rsidRPr="00F6009F">
        <w:rPr>
          <w:lang w:eastAsia="en-US"/>
        </w:rPr>
        <w:t xml:space="preserve"> na </w:t>
      </w:r>
      <w:r w:rsidR="006B3DB3" w:rsidRPr="00F6009F">
        <w:rPr>
          <w:lang w:eastAsia="en-US"/>
        </w:rPr>
        <w:t>učešće</w:t>
      </w:r>
      <w:r w:rsidR="006B3DB3" w:rsidRPr="00CA7B4C">
        <w:rPr>
          <w:lang w:eastAsia="en-US"/>
        </w:rPr>
        <w:t xml:space="preserve"> u sufinanciranju</w:t>
      </w:r>
      <w:r w:rsidRPr="00CA7B4C">
        <w:rPr>
          <w:lang w:eastAsia="en-US"/>
        </w:rPr>
        <w:t xml:space="preserve"> EU pro</w:t>
      </w:r>
      <w:r w:rsidR="00110EA1" w:rsidRPr="00CA7B4C">
        <w:rPr>
          <w:lang w:eastAsia="en-US"/>
        </w:rPr>
        <w:t>jekata</w:t>
      </w:r>
      <w:r w:rsidR="00130045" w:rsidRPr="00CA7B4C">
        <w:rPr>
          <w:lang w:eastAsia="en-US"/>
        </w:rPr>
        <w:t xml:space="preserve"> </w:t>
      </w:r>
      <w:r w:rsidR="00110EA1" w:rsidRPr="00CA7B4C">
        <w:rPr>
          <w:lang w:eastAsia="en-US"/>
        </w:rPr>
        <w:t>– lokalna komponenta</w:t>
      </w:r>
      <w:r w:rsidRPr="00CA7B4C">
        <w:rPr>
          <w:lang w:eastAsia="en-US"/>
        </w:rPr>
        <w:t xml:space="preserve">. </w:t>
      </w:r>
    </w:p>
    <w:p w14:paraId="5DD87F9B" w14:textId="77777777" w:rsidR="0066727E" w:rsidRDefault="0066727E" w:rsidP="0066727E">
      <w:pPr>
        <w:autoSpaceDE w:val="0"/>
        <w:autoSpaceDN w:val="0"/>
        <w:adjustRightInd w:val="0"/>
        <w:jc w:val="both"/>
        <w:rPr>
          <w:b/>
          <w:lang w:eastAsia="en-US"/>
        </w:rPr>
      </w:pPr>
    </w:p>
    <w:p w14:paraId="4A0BCA6C" w14:textId="117C0500" w:rsidR="00D2349A" w:rsidRPr="00CA7B4C" w:rsidRDefault="00611F3D" w:rsidP="0066727E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CA7B4C">
        <w:rPr>
          <w:b/>
          <w:lang w:eastAsia="en-US"/>
        </w:rPr>
        <w:t>Pomoći temeljem prijenosa EU sredstava</w:t>
      </w:r>
      <w:r w:rsidRPr="00CA7B4C">
        <w:rPr>
          <w:lang w:eastAsia="en-US"/>
        </w:rPr>
        <w:t xml:space="preserve"> o</w:t>
      </w:r>
      <w:r w:rsidR="00FF1B02" w:rsidRPr="00CA7B4C">
        <w:rPr>
          <w:lang w:eastAsia="en-US"/>
        </w:rPr>
        <w:t>stvarene su</w:t>
      </w:r>
      <w:r w:rsidRPr="00CA7B4C">
        <w:rPr>
          <w:lang w:eastAsia="en-US"/>
        </w:rPr>
        <w:t xml:space="preserve"> u ukupnom iznosu od </w:t>
      </w:r>
      <w:r w:rsidR="0025582F" w:rsidRPr="00CA7B4C">
        <w:rPr>
          <w:lang w:eastAsia="en-US"/>
        </w:rPr>
        <w:t>773.024.689</w:t>
      </w:r>
      <w:r w:rsidR="00972864" w:rsidRPr="00CA7B4C">
        <w:rPr>
          <w:lang w:eastAsia="en-US"/>
        </w:rPr>
        <w:t xml:space="preserve"> kn s indeksom od 4</w:t>
      </w:r>
      <w:r w:rsidR="0025582F" w:rsidRPr="00CA7B4C">
        <w:rPr>
          <w:lang w:eastAsia="en-US"/>
        </w:rPr>
        <w:t>3,23</w:t>
      </w:r>
      <w:r w:rsidRPr="00CA7B4C">
        <w:rPr>
          <w:lang w:eastAsia="en-US"/>
        </w:rPr>
        <w:t xml:space="preserve"> u odnosu na plan.</w:t>
      </w:r>
      <w:r w:rsidR="00D2349A" w:rsidRPr="00CA7B4C">
        <w:rPr>
          <w:lang w:eastAsia="en-US"/>
        </w:rPr>
        <w:t xml:space="preserve"> Kapitalne pomoći temeljem prijenosa E</w:t>
      </w:r>
      <w:r w:rsidR="00923192" w:rsidRPr="00CA7B4C">
        <w:rPr>
          <w:lang w:eastAsia="en-US"/>
        </w:rPr>
        <w:t xml:space="preserve">U sredstava u ukupnom iznosu </w:t>
      </w:r>
      <w:r w:rsidR="008153CC" w:rsidRPr="00CA7B4C">
        <w:rPr>
          <w:lang w:eastAsia="en-US"/>
        </w:rPr>
        <w:t xml:space="preserve">od </w:t>
      </w:r>
      <w:r w:rsidR="0025582F" w:rsidRPr="00CA7B4C">
        <w:rPr>
          <w:lang w:eastAsia="en-US"/>
        </w:rPr>
        <w:t>776.026.133</w:t>
      </w:r>
      <w:r w:rsidR="00D2349A" w:rsidRPr="00CA7B4C">
        <w:rPr>
          <w:lang w:eastAsia="en-US"/>
        </w:rPr>
        <w:t xml:space="preserve"> kn, sastoje se od bespovratnih EU sredstava putem državnog proračuna sa razdjela Ministarstva zaštite okoliša i energetike i to:</w:t>
      </w:r>
      <w:r w:rsidR="00D2349A" w:rsidRPr="00CA7B4C">
        <w:rPr>
          <w:color w:val="FF0000"/>
          <w:lang w:eastAsia="en-US"/>
        </w:rPr>
        <w:t xml:space="preserve"> </w:t>
      </w:r>
      <w:r w:rsidR="00D2349A" w:rsidRPr="00CA7B4C">
        <w:rPr>
          <w:lang w:eastAsia="en-US"/>
        </w:rPr>
        <w:t xml:space="preserve">za projekte poboljšanja </w:t>
      </w:r>
      <w:proofErr w:type="spellStart"/>
      <w:r w:rsidR="00D2349A" w:rsidRPr="00CA7B4C">
        <w:rPr>
          <w:lang w:eastAsia="en-US"/>
        </w:rPr>
        <w:t>vodnokomun</w:t>
      </w:r>
      <w:r w:rsidR="00923192" w:rsidRPr="00CA7B4C">
        <w:rPr>
          <w:lang w:eastAsia="en-US"/>
        </w:rPr>
        <w:t>alne</w:t>
      </w:r>
      <w:proofErr w:type="spellEnd"/>
      <w:r w:rsidR="00923192" w:rsidRPr="00CA7B4C">
        <w:rPr>
          <w:lang w:eastAsia="en-US"/>
        </w:rPr>
        <w:t xml:space="preserve"> infrastrukture u iznosu </w:t>
      </w:r>
      <w:r w:rsidR="0025582F" w:rsidRPr="00CA7B4C">
        <w:rPr>
          <w:lang w:eastAsia="en-US"/>
        </w:rPr>
        <w:t>752.140.465</w:t>
      </w:r>
      <w:r w:rsidR="00D2349A" w:rsidRPr="00CA7B4C">
        <w:rPr>
          <w:lang w:eastAsia="en-US"/>
        </w:rPr>
        <w:t xml:space="preserve"> kn i za projekte obrane od </w:t>
      </w:r>
      <w:r w:rsidR="00923192" w:rsidRPr="00CA7B4C">
        <w:rPr>
          <w:lang w:eastAsia="en-US"/>
        </w:rPr>
        <w:t xml:space="preserve">poplava u iznosu </w:t>
      </w:r>
      <w:r w:rsidR="0025582F" w:rsidRPr="00CA7B4C">
        <w:rPr>
          <w:lang w:eastAsia="en-US"/>
        </w:rPr>
        <w:t>13.885.668</w:t>
      </w:r>
      <w:r w:rsidR="00D2349A" w:rsidRPr="00CA7B4C">
        <w:rPr>
          <w:lang w:eastAsia="en-US"/>
        </w:rPr>
        <w:t xml:space="preserve"> kn.</w:t>
      </w:r>
      <w:r w:rsidR="00D2349A" w:rsidRPr="00CA7B4C">
        <w:t xml:space="preserve"> </w:t>
      </w:r>
      <w:r w:rsidR="00923192" w:rsidRPr="00CA7B4C">
        <w:rPr>
          <w:lang w:eastAsia="en-US"/>
        </w:rPr>
        <w:t>U odnosu n</w:t>
      </w:r>
      <w:r w:rsidR="0025582F" w:rsidRPr="00CA7B4C">
        <w:rPr>
          <w:lang w:eastAsia="en-US"/>
        </w:rPr>
        <w:t>a izvršenje siječanj</w:t>
      </w:r>
      <w:r w:rsidR="007D3984">
        <w:rPr>
          <w:lang w:eastAsia="en-US"/>
        </w:rPr>
        <w:t xml:space="preserve"> </w:t>
      </w:r>
      <w:r w:rsidR="0025582F" w:rsidRPr="00CA7B4C">
        <w:rPr>
          <w:lang w:eastAsia="en-US"/>
        </w:rPr>
        <w:t>-</w:t>
      </w:r>
      <w:r w:rsidR="007D3984">
        <w:rPr>
          <w:lang w:eastAsia="en-US"/>
        </w:rPr>
        <w:t xml:space="preserve"> </w:t>
      </w:r>
      <w:r w:rsidR="0025582F" w:rsidRPr="00CA7B4C">
        <w:rPr>
          <w:lang w:eastAsia="en-US"/>
        </w:rPr>
        <w:t>lipanj 2020</w:t>
      </w:r>
      <w:r w:rsidR="00923192" w:rsidRPr="00CA7B4C">
        <w:rPr>
          <w:lang w:eastAsia="en-US"/>
        </w:rPr>
        <w:t>. g</w:t>
      </w:r>
      <w:r w:rsidR="0025582F" w:rsidRPr="00CA7B4C">
        <w:rPr>
          <w:lang w:eastAsia="en-US"/>
        </w:rPr>
        <w:t xml:space="preserve">odine ove pomoći veće su </w:t>
      </w:r>
      <w:r w:rsidR="0052482B" w:rsidRPr="00F6009F">
        <w:rPr>
          <w:lang w:eastAsia="en-US"/>
        </w:rPr>
        <w:t>125,35</w:t>
      </w:r>
      <w:r w:rsidR="00D2349A" w:rsidRPr="00F6009F">
        <w:rPr>
          <w:lang w:eastAsia="en-US"/>
        </w:rPr>
        <w:t>%, prvenstveno iz razloga pojačanih aktivnosti provedbe projekata sufinanciranih</w:t>
      </w:r>
      <w:r w:rsidR="00D2349A" w:rsidRPr="00CA7B4C">
        <w:rPr>
          <w:lang w:eastAsia="en-US"/>
        </w:rPr>
        <w:t xml:space="preserve"> bespovratnim</w:t>
      </w:r>
      <w:r w:rsidR="00D2349A" w:rsidRPr="00CA7B4C">
        <w:rPr>
          <w:color w:val="FF0000"/>
          <w:lang w:eastAsia="en-US"/>
        </w:rPr>
        <w:t xml:space="preserve"> </w:t>
      </w:r>
      <w:r w:rsidR="00D2349A" w:rsidRPr="00CA7B4C">
        <w:rPr>
          <w:lang w:eastAsia="en-US"/>
        </w:rPr>
        <w:t>sredstvima EU iz Operativnog programa „Konkurentnost i kohezija“, gdje Hrvatske vode imaju ulogu Posredničkog tijela razine 2 u provedbi specifičnih ciljeva 5b1 – Jačanje sustava upravljanja katastrofama i specifičnih ciljeva 6ii1 i 6ii2 – Ulaganje u vodni sektor. U provedbi specifičnih ciljeva 5b1 Hrvatske vode ujedno su i krajnji korisnik bespovratnih sredstava.</w:t>
      </w:r>
    </w:p>
    <w:p w14:paraId="41616B4C" w14:textId="77777777" w:rsidR="00611F3D" w:rsidRPr="00CA7B4C" w:rsidRDefault="0052572E" w:rsidP="0066727E">
      <w:pPr>
        <w:autoSpaceDE w:val="0"/>
        <w:autoSpaceDN w:val="0"/>
        <w:adjustRightInd w:val="0"/>
        <w:jc w:val="both"/>
        <w:rPr>
          <w:lang w:eastAsia="en-US"/>
        </w:rPr>
      </w:pPr>
      <w:r w:rsidRPr="00CA7B4C">
        <w:rPr>
          <w:lang w:eastAsia="en-US"/>
        </w:rPr>
        <w:t>U okviru istih su i t</w:t>
      </w:r>
      <w:r w:rsidR="00611F3D" w:rsidRPr="00CA7B4C">
        <w:rPr>
          <w:lang w:eastAsia="en-US"/>
        </w:rPr>
        <w:t>ekuće pomoći temeljem pri</w:t>
      </w:r>
      <w:r w:rsidR="00D2349A" w:rsidRPr="00CA7B4C">
        <w:rPr>
          <w:lang w:eastAsia="en-US"/>
        </w:rPr>
        <w:t>jenosa EU sredstava ostvarene</w:t>
      </w:r>
      <w:r w:rsidR="00611F3D" w:rsidRPr="00CA7B4C">
        <w:rPr>
          <w:lang w:eastAsia="en-US"/>
        </w:rPr>
        <w:t xml:space="preserve"> u ukupnom iznosu </w:t>
      </w:r>
      <w:r w:rsidR="00D2349A" w:rsidRPr="00CA7B4C">
        <w:rPr>
          <w:lang w:eastAsia="en-US"/>
        </w:rPr>
        <w:t xml:space="preserve">od </w:t>
      </w:r>
      <w:r w:rsidR="00E55571" w:rsidRPr="00CA7B4C">
        <w:rPr>
          <w:lang w:eastAsia="en-US"/>
        </w:rPr>
        <w:t>6.998.556</w:t>
      </w:r>
      <w:r w:rsidR="0052482B" w:rsidRPr="00CA7B4C">
        <w:rPr>
          <w:lang w:eastAsia="en-US"/>
        </w:rPr>
        <w:t xml:space="preserve"> kn</w:t>
      </w:r>
      <w:r w:rsidR="00611F3D" w:rsidRPr="00CA7B4C">
        <w:rPr>
          <w:lang w:eastAsia="en-US"/>
        </w:rPr>
        <w:t>.</w:t>
      </w:r>
      <w:r w:rsidR="00611F3D" w:rsidRPr="00CA7B4C">
        <w:rPr>
          <w:color w:val="FF0000"/>
          <w:lang w:eastAsia="en-US"/>
        </w:rPr>
        <w:t xml:space="preserve"> </w:t>
      </w:r>
      <w:r w:rsidR="00611F3D" w:rsidRPr="00CA7B4C">
        <w:rPr>
          <w:lang w:eastAsia="en-US"/>
        </w:rPr>
        <w:t>Sastoje se od bespovratnih EU sredstava putem državnog proraču</w:t>
      </w:r>
      <w:r w:rsidRPr="00CA7B4C">
        <w:rPr>
          <w:lang w:eastAsia="en-US"/>
        </w:rPr>
        <w:t xml:space="preserve">na </w:t>
      </w:r>
      <w:r w:rsidR="00923192" w:rsidRPr="00CA7B4C">
        <w:rPr>
          <w:lang w:eastAsia="en-US"/>
        </w:rPr>
        <w:t>za EU</w:t>
      </w:r>
      <w:r w:rsidR="00E55571" w:rsidRPr="00CA7B4C">
        <w:rPr>
          <w:lang w:eastAsia="en-US"/>
        </w:rPr>
        <w:t xml:space="preserve"> projekt </w:t>
      </w:r>
      <w:proofErr w:type="spellStart"/>
      <w:r w:rsidR="00E55571" w:rsidRPr="00CA7B4C">
        <w:rPr>
          <w:lang w:eastAsia="en-US"/>
        </w:rPr>
        <w:t>Naturavita</w:t>
      </w:r>
      <w:proofErr w:type="spellEnd"/>
      <w:r w:rsidR="00E55571" w:rsidRPr="00CA7B4C">
        <w:rPr>
          <w:lang w:eastAsia="en-US"/>
        </w:rPr>
        <w:t xml:space="preserve"> u iznosu od 300.058 kn i tehničke pomoći za PT 2 u iznosu od 6.698.498 kn.</w:t>
      </w:r>
      <w:bookmarkStart w:id="0" w:name="_GoBack"/>
      <w:bookmarkEnd w:id="0"/>
    </w:p>
    <w:p w14:paraId="50FD870C" w14:textId="77777777" w:rsidR="0066727E" w:rsidRDefault="0066727E" w:rsidP="0066727E">
      <w:pPr>
        <w:autoSpaceDE w:val="0"/>
        <w:autoSpaceDN w:val="0"/>
        <w:adjustRightInd w:val="0"/>
        <w:jc w:val="both"/>
        <w:rPr>
          <w:b/>
          <w:lang w:eastAsia="en-US"/>
        </w:rPr>
      </w:pPr>
    </w:p>
    <w:p w14:paraId="515E292F" w14:textId="615690CA" w:rsidR="00FE7897" w:rsidRPr="00CA7B4C" w:rsidRDefault="00FE7897" w:rsidP="0066727E">
      <w:pPr>
        <w:autoSpaceDE w:val="0"/>
        <w:autoSpaceDN w:val="0"/>
        <w:adjustRightInd w:val="0"/>
        <w:jc w:val="both"/>
        <w:rPr>
          <w:lang w:eastAsia="en-US"/>
        </w:rPr>
      </w:pPr>
      <w:r w:rsidRPr="00CA7B4C">
        <w:rPr>
          <w:b/>
          <w:lang w:eastAsia="en-US"/>
        </w:rPr>
        <w:lastRenderedPageBreak/>
        <w:t>Prihodi od imovine</w:t>
      </w:r>
      <w:r w:rsidR="0056402B" w:rsidRPr="00CA7B4C">
        <w:rPr>
          <w:lang w:eastAsia="en-US"/>
        </w:rPr>
        <w:t xml:space="preserve"> u ukupnom iznosu </w:t>
      </w:r>
      <w:r w:rsidR="0052482B" w:rsidRPr="00CA7B4C">
        <w:rPr>
          <w:lang w:eastAsia="en-US"/>
        </w:rPr>
        <w:t>2.458.665</w:t>
      </w:r>
      <w:r w:rsidRPr="00CA7B4C">
        <w:rPr>
          <w:lang w:eastAsia="en-US"/>
        </w:rPr>
        <w:t xml:space="preserve"> kn, ostvareni </w:t>
      </w:r>
      <w:r w:rsidR="00D2349A" w:rsidRPr="00CA7B4C">
        <w:rPr>
          <w:lang w:eastAsia="en-US"/>
        </w:rPr>
        <w:t xml:space="preserve">su </w:t>
      </w:r>
      <w:r w:rsidR="00A15EA6" w:rsidRPr="00CA7B4C">
        <w:rPr>
          <w:lang w:eastAsia="en-US"/>
        </w:rPr>
        <w:t>s indeksom 25,61</w:t>
      </w:r>
      <w:r w:rsidRPr="00CA7B4C">
        <w:rPr>
          <w:lang w:eastAsia="en-US"/>
        </w:rPr>
        <w:t xml:space="preserve"> u odnosu na plan, a sastoje se od </w:t>
      </w:r>
      <w:r w:rsidR="0056402B" w:rsidRPr="00CA7B4C">
        <w:rPr>
          <w:lang w:eastAsia="en-US"/>
        </w:rPr>
        <w:t xml:space="preserve">prihoda od financijske imovine </w:t>
      </w:r>
      <w:r w:rsidR="00A15EA6" w:rsidRPr="00CA7B4C">
        <w:rPr>
          <w:lang w:eastAsia="en-US"/>
        </w:rPr>
        <w:t xml:space="preserve">1.715.133 </w:t>
      </w:r>
      <w:r w:rsidRPr="00CA7B4C">
        <w:rPr>
          <w:lang w:eastAsia="en-US"/>
        </w:rPr>
        <w:t>kn (zatezne kamate, kamate na obročnu otplatu i ostalo) i prihoda od nefinancijske imovine (zakup</w:t>
      </w:r>
      <w:r w:rsidR="00A15EA6" w:rsidRPr="00CA7B4C">
        <w:rPr>
          <w:lang w:eastAsia="en-US"/>
        </w:rPr>
        <w:t xml:space="preserve"> i iznajmljivanje imovine) 743.532</w:t>
      </w:r>
      <w:r w:rsidRPr="00CA7B4C">
        <w:rPr>
          <w:lang w:eastAsia="en-US"/>
        </w:rPr>
        <w:t xml:space="preserve"> kn. </w:t>
      </w:r>
    </w:p>
    <w:p w14:paraId="37085628" w14:textId="77777777" w:rsidR="0066727E" w:rsidRDefault="0066727E" w:rsidP="0066727E">
      <w:pPr>
        <w:autoSpaceDE w:val="0"/>
        <w:autoSpaceDN w:val="0"/>
        <w:adjustRightInd w:val="0"/>
        <w:jc w:val="both"/>
        <w:rPr>
          <w:b/>
          <w:lang w:eastAsia="en-US"/>
        </w:rPr>
      </w:pPr>
    </w:p>
    <w:p w14:paraId="245EE377" w14:textId="6C709B72" w:rsidR="00934589" w:rsidRPr="00CA7B4C" w:rsidRDefault="00230511" w:rsidP="0066727E">
      <w:pPr>
        <w:autoSpaceDE w:val="0"/>
        <w:autoSpaceDN w:val="0"/>
        <w:adjustRightInd w:val="0"/>
        <w:jc w:val="both"/>
        <w:rPr>
          <w:lang w:eastAsia="en-US"/>
        </w:rPr>
      </w:pPr>
      <w:r w:rsidRPr="00CA7B4C">
        <w:rPr>
          <w:b/>
          <w:lang w:eastAsia="en-US"/>
        </w:rPr>
        <w:t>Prihodi od upravnih i administrativnih pristojbi, pristojbi po posebnim propisima i naknada</w:t>
      </w:r>
      <w:r w:rsidRPr="00CA7B4C">
        <w:rPr>
          <w:lang w:eastAsia="en-US"/>
        </w:rPr>
        <w:t xml:space="preserve"> ostvar</w:t>
      </w:r>
      <w:r w:rsidR="00485ABD" w:rsidRPr="00CA7B4C">
        <w:rPr>
          <w:lang w:eastAsia="en-US"/>
        </w:rPr>
        <w:t>eni su u ukupnom iznosu</w:t>
      </w:r>
      <w:r w:rsidR="007F4933" w:rsidRPr="00CA7B4C">
        <w:rPr>
          <w:lang w:eastAsia="en-US"/>
        </w:rPr>
        <w:t xml:space="preserve"> od </w:t>
      </w:r>
      <w:r w:rsidR="00A15EA6" w:rsidRPr="00CA7B4C">
        <w:rPr>
          <w:lang w:eastAsia="en-US"/>
        </w:rPr>
        <w:t>922.255.916 kn s indeksom 45,05</w:t>
      </w:r>
      <w:r w:rsidR="0052482B" w:rsidRPr="00CA7B4C">
        <w:rPr>
          <w:lang w:eastAsia="en-US"/>
        </w:rPr>
        <w:t xml:space="preserve"> u o</w:t>
      </w:r>
      <w:r w:rsidRPr="00CA7B4C">
        <w:rPr>
          <w:lang w:eastAsia="en-US"/>
        </w:rPr>
        <w:t>dnosu na plan.</w:t>
      </w:r>
    </w:p>
    <w:p w14:paraId="67491B94" w14:textId="77777777" w:rsidR="00567D80" w:rsidRPr="00CA7B4C" w:rsidRDefault="002A327E" w:rsidP="0066727E">
      <w:pPr>
        <w:jc w:val="both"/>
        <w:rPr>
          <w:rFonts w:eastAsia="Calibri"/>
          <w:color w:val="FF0000"/>
        </w:rPr>
      </w:pPr>
      <w:r w:rsidRPr="00CA7B4C">
        <w:rPr>
          <w:lang w:eastAsia="en-US"/>
        </w:rPr>
        <w:t>Sastoje se od</w:t>
      </w:r>
      <w:r w:rsidR="00230511" w:rsidRPr="00CA7B4C">
        <w:rPr>
          <w:lang w:eastAsia="en-US"/>
        </w:rPr>
        <w:t xml:space="preserve"> prihoda</w:t>
      </w:r>
      <w:r w:rsidR="00E37AB5" w:rsidRPr="00CA7B4C">
        <w:rPr>
          <w:lang w:eastAsia="en-US"/>
        </w:rPr>
        <w:t xml:space="preserve"> od vodnog gospodarstva</w:t>
      </w:r>
      <w:r w:rsidR="00230511" w:rsidRPr="00CA7B4C">
        <w:rPr>
          <w:lang w:eastAsia="en-US"/>
        </w:rPr>
        <w:t xml:space="preserve"> (izvorni prihodi Hr</w:t>
      </w:r>
      <w:r w:rsidR="00D80E48" w:rsidRPr="00CA7B4C">
        <w:rPr>
          <w:lang w:eastAsia="en-US"/>
        </w:rPr>
        <w:t>vatskih voda) koji su ostvareni</w:t>
      </w:r>
      <w:r w:rsidR="005F3F48" w:rsidRPr="00CA7B4C">
        <w:rPr>
          <w:lang w:eastAsia="en-US"/>
        </w:rPr>
        <w:t xml:space="preserve"> iznos</w:t>
      </w:r>
      <w:r w:rsidR="00230511" w:rsidRPr="00CA7B4C">
        <w:rPr>
          <w:lang w:eastAsia="en-US"/>
        </w:rPr>
        <w:t>om od</w:t>
      </w:r>
      <w:r w:rsidR="005F3F48" w:rsidRPr="00CA7B4C">
        <w:rPr>
          <w:lang w:eastAsia="en-US"/>
        </w:rPr>
        <w:t xml:space="preserve"> </w:t>
      </w:r>
      <w:r w:rsidR="00A15EA6" w:rsidRPr="00CA7B4C">
        <w:rPr>
          <w:lang w:eastAsia="en-US"/>
        </w:rPr>
        <w:t>896.619.816</w:t>
      </w:r>
      <w:r w:rsidR="00E30CE2" w:rsidRPr="00CA7B4C">
        <w:rPr>
          <w:lang w:eastAsia="en-US"/>
        </w:rPr>
        <w:t xml:space="preserve"> </w:t>
      </w:r>
      <w:r w:rsidR="00A92E45" w:rsidRPr="00CA7B4C">
        <w:rPr>
          <w:lang w:eastAsia="en-US"/>
        </w:rPr>
        <w:t>kn odnosno</w:t>
      </w:r>
      <w:r w:rsidR="008153CC" w:rsidRPr="00CA7B4C">
        <w:rPr>
          <w:lang w:eastAsia="en-US"/>
        </w:rPr>
        <w:t xml:space="preserve"> 6,67</w:t>
      </w:r>
      <w:r w:rsidR="000575BD" w:rsidRPr="00CA7B4C">
        <w:rPr>
          <w:lang w:eastAsia="en-US"/>
        </w:rPr>
        <w:t>%</w:t>
      </w:r>
      <w:r w:rsidR="00F430EC" w:rsidRPr="00CA7B4C">
        <w:rPr>
          <w:lang w:eastAsia="en-US"/>
        </w:rPr>
        <w:t xml:space="preserve"> </w:t>
      </w:r>
      <w:r w:rsidR="00A15EA6" w:rsidRPr="00CA7B4C">
        <w:rPr>
          <w:lang w:eastAsia="en-US"/>
        </w:rPr>
        <w:t>više</w:t>
      </w:r>
      <w:r w:rsidR="00F430EC" w:rsidRPr="00CA7B4C">
        <w:rPr>
          <w:lang w:eastAsia="en-US"/>
        </w:rPr>
        <w:t xml:space="preserve"> u odnosu na </w:t>
      </w:r>
      <w:r w:rsidR="00D80E48" w:rsidRPr="00CA7B4C">
        <w:rPr>
          <w:lang w:eastAsia="en-US"/>
        </w:rPr>
        <w:t xml:space="preserve">isto razdoblje </w:t>
      </w:r>
      <w:r w:rsidR="00A15EA6" w:rsidRPr="00CA7B4C">
        <w:rPr>
          <w:lang w:eastAsia="en-US"/>
        </w:rPr>
        <w:t>2020</w:t>
      </w:r>
      <w:r w:rsidR="000575BD" w:rsidRPr="00CA7B4C">
        <w:rPr>
          <w:lang w:eastAsia="en-US"/>
        </w:rPr>
        <w:t>.</w:t>
      </w:r>
      <w:r w:rsidR="00945840" w:rsidRPr="00CA7B4C">
        <w:rPr>
          <w:lang w:eastAsia="en-US"/>
        </w:rPr>
        <w:t xml:space="preserve"> godin</w:t>
      </w:r>
      <w:r w:rsidR="00A15EA6" w:rsidRPr="00CA7B4C">
        <w:rPr>
          <w:lang w:eastAsia="en-US"/>
        </w:rPr>
        <w:t>e</w:t>
      </w:r>
      <w:r w:rsidR="006A06E8" w:rsidRPr="00CA7B4C">
        <w:rPr>
          <w:lang w:eastAsia="en-US"/>
        </w:rPr>
        <w:t xml:space="preserve"> i ostalih nespomenutih prihoda</w:t>
      </w:r>
      <w:r w:rsidR="00945840" w:rsidRPr="00CA7B4C">
        <w:rPr>
          <w:lang w:eastAsia="en-US"/>
        </w:rPr>
        <w:t>.</w:t>
      </w:r>
      <w:r w:rsidR="00116560" w:rsidRPr="00CA7B4C">
        <w:rPr>
          <w:lang w:eastAsia="en-US"/>
        </w:rPr>
        <w:t xml:space="preserve"> </w:t>
      </w:r>
      <w:r w:rsidR="00EE68BB" w:rsidRPr="00CA7B4C">
        <w:rPr>
          <w:lang w:eastAsia="en-US"/>
        </w:rPr>
        <w:t>I</w:t>
      </w:r>
      <w:r w:rsidR="00070B73" w:rsidRPr="00CA7B4C">
        <w:rPr>
          <w:lang w:eastAsia="en-US"/>
        </w:rPr>
        <w:t xml:space="preserve">zvorni prihodi </w:t>
      </w:r>
      <w:r w:rsidR="00070B73" w:rsidRPr="00CA7B4C">
        <w:rPr>
          <w:rFonts w:eastAsia="Calibri"/>
        </w:rPr>
        <w:t>sastoje se od namjenskih vodnih naknada utvrđenih Zakonom o fin</w:t>
      </w:r>
      <w:r w:rsidR="00A15EA6" w:rsidRPr="00CA7B4C">
        <w:rPr>
          <w:rFonts w:eastAsia="Calibri"/>
        </w:rPr>
        <w:t>anciranju vodnog gospodarstva; n</w:t>
      </w:r>
      <w:r w:rsidR="00070B73" w:rsidRPr="00CA7B4C">
        <w:rPr>
          <w:rFonts w:eastAsia="Calibri"/>
        </w:rPr>
        <w:t xml:space="preserve">aknada za uređenje voda u iznosu od </w:t>
      </w:r>
      <w:r w:rsidR="00A15EA6" w:rsidRPr="00CA7B4C">
        <w:rPr>
          <w:rFonts w:eastAsia="Calibri"/>
        </w:rPr>
        <w:t>448.711.458</w:t>
      </w:r>
      <w:r w:rsidR="00070B73" w:rsidRPr="00CA7B4C">
        <w:rPr>
          <w:rFonts w:eastAsia="Calibri"/>
        </w:rPr>
        <w:t xml:space="preserve"> kn</w:t>
      </w:r>
      <w:r w:rsidR="00A15EA6" w:rsidRPr="00CA7B4C">
        <w:rPr>
          <w:lang w:eastAsia="en-US"/>
        </w:rPr>
        <w:t>,</w:t>
      </w:r>
      <w:r w:rsidR="00A15EA6" w:rsidRPr="00CA7B4C">
        <w:rPr>
          <w:rFonts w:eastAsia="Calibri"/>
        </w:rPr>
        <w:t xml:space="preserve"> n</w:t>
      </w:r>
      <w:r w:rsidR="00070B73" w:rsidRPr="00CA7B4C">
        <w:rPr>
          <w:rFonts w:eastAsia="Calibri"/>
        </w:rPr>
        <w:t xml:space="preserve">aknada za korištenje voda </w:t>
      </w:r>
      <w:r w:rsidR="00A15EA6" w:rsidRPr="00CA7B4C">
        <w:rPr>
          <w:rFonts w:eastAsia="Calibri"/>
        </w:rPr>
        <w:t>311.425.365</w:t>
      </w:r>
      <w:r w:rsidR="00070B73" w:rsidRPr="00CA7B4C">
        <w:rPr>
          <w:rFonts w:eastAsia="Calibri"/>
        </w:rPr>
        <w:t xml:space="preserve"> kn</w:t>
      </w:r>
      <w:r w:rsidR="00A15EA6" w:rsidRPr="00CA7B4C">
        <w:rPr>
          <w:rFonts w:eastAsia="Calibri"/>
        </w:rPr>
        <w:t>, v</w:t>
      </w:r>
      <w:r w:rsidR="00070B73" w:rsidRPr="00CA7B4C">
        <w:rPr>
          <w:rFonts w:eastAsia="Calibri"/>
        </w:rPr>
        <w:t xml:space="preserve">odni doprinos u iznosu </w:t>
      </w:r>
      <w:r w:rsidR="00A15EA6" w:rsidRPr="00CA7B4C">
        <w:rPr>
          <w:rFonts w:eastAsia="Calibri"/>
        </w:rPr>
        <w:t>36.563.086</w:t>
      </w:r>
      <w:r w:rsidR="00070B73" w:rsidRPr="00CA7B4C">
        <w:rPr>
          <w:rFonts w:eastAsia="Calibri"/>
        </w:rPr>
        <w:t xml:space="preserve"> kn</w:t>
      </w:r>
      <w:r w:rsidR="00A92E45" w:rsidRPr="00CA7B4C">
        <w:rPr>
          <w:rFonts w:eastAsia="Calibri"/>
        </w:rPr>
        <w:t xml:space="preserve"> i</w:t>
      </w:r>
      <w:r w:rsidR="00A15EA6" w:rsidRPr="00CA7B4C">
        <w:rPr>
          <w:rFonts w:eastAsia="Calibri"/>
        </w:rPr>
        <w:t xml:space="preserve"> n</w:t>
      </w:r>
      <w:r w:rsidR="001F7435" w:rsidRPr="00CA7B4C">
        <w:rPr>
          <w:rFonts w:eastAsia="Calibri"/>
        </w:rPr>
        <w:t>aknad</w:t>
      </w:r>
      <w:r w:rsidR="00A92E45" w:rsidRPr="00CA7B4C">
        <w:rPr>
          <w:rFonts w:eastAsia="Calibri"/>
        </w:rPr>
        <w:t>u</w:t>
      </w:r>
      <w:r w:rsidR="001F7435" w:rsidRPr="00CA7B4C">
        <w:rPr>
          <w:rFonts w:eastAsia="Calibri"/>
        </w:rPr>
        <w:t xml:space="preserve"> za zaštitu voda u iznosu</w:t>
      </w:r>
      <w:r w:rsidR="00070B73" w:rsidRPr="00CA7B4C">
        <w:rPr>
          <w:rFonts w:eastAsia="Calibri"/>
        </w:rPr>
        <w:t xml:space="preserve"> </w:t>
      </w:r>
      <w:r w:rsidR="00A15EA6" w:rsidRPr="00CA7B4C">
        <w:rPr>
          <w:rFonts w:eastAsia="Calibri"/>
        </w:rPr>
        <w:t>99.919.907</w:t>
      </w:r>
      <w:r w:rsidR="00070B73" w:rsidRPr="00CA7B4C">
        <w:rPr>
          <w:rFonts w:eastAsia="Calibri"/>
        </w:rPr>
        <w:t xml:space="preserve"> kn. Vrijednosno najznačajnija je na</w:t>
      </w:r>
      <w:r w:rsidR="00E97697" w:rsidRPr="00CA7B4C">
        <w:rPr>
          <w:rFonts w:eastAsia="Calibri"/>
        </w:rPr>
        <w:t xml:space="preserve">knada za uređenje voda i čini </w:t>
      </w:r>
      <w:r w:rsidR="00853844" w:rsidRPr="00CA7B4C">
        <w:rPr>
          <w:rFonts w:eastAsia="Calibri"/>
        </w:rPr>
        <w:t>50,1</w:t>
      </w:r>
      <w:r w:rsidR="00070B73" w:rsidRPr="00CA7B4C">
        <w:rPr>
          <w:rFonts w:eastAsia="Calibri"/>
        </w:rPr>
        <w:t>% od ukupno ostvarenih vodnih naknada.</w:t>
      </w:r>
      <w:r w:rsidR="003B00D2" w:rsidRPr="00CA7B4C">
        <w:rPr>
          <w:rFonts w:eastAsia="Calibri"/>
        </w:rPr>
        <w:t xml:space="preserve"> Također je ova naknada i u</w:t>
      </w:r>
      <w:r w:rsidR="00D80E48" w:rsidRPr="00CA7B4C">
        <w:rPr>
          <w:rFonts w:eastAsia="Calibri"/>
        </w:rPr>
        <w:t xml:space="preserve"> istom razdoblju</w:t>
      </w:r>
      <w:r w:rsidR="00331C35" w:rsidRPr="00CA7B4C">
        <w:rPr>
          <w:rFonts w:eastAsia="Calibri"/>
        </w:rPr>
        <w:t xml:space="preserve"> </w:t>
      </w:r>
      <w:r w:rsidR="00853844" w:rsidRPr="00CA7B4C">
        <w:rPr>
          <w:rFonts w:eastAsia="Calibri"/>
        </w:rPr>
        <w:t>2020</w:t>
      </w:r>
      <w:r w:rsidR="00D80E48" w:rsidRPr="00CA7B4C">
        <w:rPr>
          <w:rFonts w:eastAsia="Calibri"/>
        </w:rPr>
        <w:t>. godine</w:t>
      </w:r>
      <w:r w:rsidR="003B00D2" w:rsidRPr="00CA7B4C">
        <w:rPr>
          <w:rFonts w:eastAsia="Calibri"/>
        </w:rPr>
        <w:t xml:space="preserve"> činila najveći dio u ukupnim naknadama.</w:t>
      </w:r>
    </w:p>
    <w:p w14:paraId="7AB3E450" w14:textId="77777777" w:rsidR="006A06E8" w:rsidRPr="00CA7B4C" w:rsidRDefault="006A06E8" w:rsidP="0066727E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CA7B4C">
        <w:rPr>
          <w:lang w:eastAsia="en-US"/>
        </w:rPr>
        <w:t>Ostali nespomenuti pri</w:t>
      </w:r>
      <w:r w:rsidR="00BA655C" w:rsidRPr="00CA7B4C">
        <w:rPr>
          <w:lang w:eastAsia="en-US"/>
        </w:rPr>
        <w:t xml:space="preserve">hodi ostvareni su u iznosu od </w:t>
      </w:r>
      <w:r w:rsidR="00853844" w:rsidRPr="00CA7B4C">
        <w:rPr>
          <w:lang w:eastAsia="en-US"/>
        </w:rPr>
        <w:t>25.636.100</w:t>
      </w:r>
      <w:r w:rsidR="00ED1DCD" w:rsidRPr="00CA7B4C">
        <w:rPr>
          <w:lang w:eastAsia="en-US"/>
        </w:rPr>
        <w:t xml:space="preserve"> kn</w:t>
      </w:r>
      <w:r w:rsidRPr="00CA7B4C">
        <w:rPr>
          <w:lang w:eastAsia="en-US"/>
        </w:rPr>
        <w:t xml:space="preserve">, a odnose se na refundacije od javnih isporučitelja vodnih usluga s naslova korištenih kredita za obnovu i razvitak </w:t>
      </w:r>
      <w:proofErr w:type="spellStart"/>
      <w:r w:rsidRPr="00CA7B4C">
        <w:rPr>
          <w:lang w:eastAsia="en-US"/>
        </w:rPr>
        <w:t>vodnogospodarske</w:t>
      </w:r>
      <w:proofErr w:type="spellEnd"/>
      <w:r w:rsidRPr="00CA7B4C">
        <w:rPr>
          <w:lang w:eastAsia="en-US"/>
        </w:rPr>
        <w:t xml:space="preserve"> infrastrukture (Jadran II, Unutarnje vode, HBOR) u iznosu</w:t>
      </w:r>
      <w:r w:rsidR="00C73AC8" w:rsidRPr="00CA7B4C">
        <w:rPr>
          <w:color w:val="FF0000"/>
          <w:lang w:eastAsia="en-US"/>
        </w:rPr>
        <w:t xml:space="preserve"> </w:t>
      </w:r>
      <w:r w:rsidR="00853844" w:rsidRPr="00CA7B4C">
        <w:rPr>
          <w:lang w:eastAsia="en-US"/>
        </w:rPr>
        <w:t>18.418.487</w:t>
      </w:r>
      <w:r w:rsidRPr="00CA7B4C">
        <w:rPr>
          <w:lang w:eastAsia="en-US"/>
        </w:rPr>
        <w:t xml:space="preserve"> kn, refundacije s osnova naplate troškova ovrha putem odvjetnika</w:t>
      </w:r>
      <w:r w:rsidR="00C73AC8" w:rsidRPr="00CA7B4C">
        <w:rPr>
          <w:lang w:eastAsia="en-US"/>
        </w:rPr>
        <w:t xml:space="preserve"> </w:t>
      </w:r>
      <w:r w:rsidR="00853844" w:rsidRPr="00CA7B4C">
        <w:rPr>
          <w:lang w:eastAsia="en-US"/>
        </w:rPr>
        <w:t>131.976</w:t>
      </w:r>
      <w:r w:rsidRPr="00CA7B4C">
        <w:rPr>
          <w:lang w:eastAsia="en-US"/>
        </w:rPr>
        <w:t xml:space="preserve"> kn, refundacija troškova po konačnim obračunima radova i refundacije troškova iz ranijih godina</w:t>
      </w:r>
      <w:r w:rsidR="00853844" w:rsidRPr="00CA7B4C">
        <w:rPr>
          <w:lang w:eastAsia="en-US"/>
        </w:rPr>
        <w:t xml:space="preserve">, </w:t>
      </w:r>
      <w:r w:rsidRPr="00CA7B4C">
        <w:rPr>
          <w:lang w:eastAsia="en-US"/>
        </w:rPr>
        <w:t>prihodi s osnova naplaćenih ugovornih kazni i ostalo</w:t>
      </w:r>
      <w:r w:rsidR="00853844" w:rsidRPr="00CA7B4C">
        <w:rPr>
          <w:lang w:eastAsia="en-US"/>
        </w:rPr>
        <w:t xml:space="preserve"> u ukupnom iznosu od 7.085.637 kn.</w:t>
      </w:r>
    </w:p>
    <w:p w14:paraId="2C443EE6" w14:textId="77777777" w:rsidR="0066727E" w:rsidRDefault="0066727E" w:rsidP="0066727E">
      <w:pPr>
        <w:autoSpaceDE w:val="0"/>
        <w:autoSpaceDN w:val="0"/>
        <w:adjustRightInd w:val="0"/>
        <w:jc w:val="both"/>
        <w:rPr>
          <w:b/>
          <w:lang w:eastAsia="en-US"/>
        </w:rPr>
      </w:pPr>
    </w:p>
    <w:p w14:paraId="624AD250" w14:textId="67D33279" w:rsidR="001311F5" w:rsidRPr="00CA7B4C" w:rsidRDefault="00EE68BB" w:rsidP="0066727E">
      <w:pPr>
        <w:autoSpaceDE w:val="0"/>
        <w:autoSpaceDN w:val="0"/>
        <w:adjustRightInd w:val="0"/>
        <w:jc w:val="both"/>
        <w:rPr>
          <w:lang w:eastAsia="en-US"/>
        </w:rPr>
      </w:pPr>
      <w:r w:rsidRPr="00CA7B4C">
        <w:rPr>
          <w:b/>
          <w:lang w:eastAsia="en-US"/>
        </w:rPr>
        <w:t>Prihodi od prodaje proizvoda i roba te pruženih usluga i prihodi od donacija</w:t>
      </w:r>
      <w:r w:rsidR="00AD502E" w:rsidRPr="00CA7B4C">
        <w:rPr>
          <w:lang w:eastAsia="en-US"/>
        </w:rPr>
        <w:t xml:space="preserve"> ost</w:t>
      </w:r>
      <w:r w:rsidR="00BA655C" w:rsidRPr="00CA7B4C">
        <w:rPr>
          <w:lang w:eastAsia="en-US"/>
        </w:rPr>
        <w:t xml:space="preserve">vareni su u ukupnom iznosu od </w:t>
      </w:r>
      <w:r w:rsidR="00853844" w:rsidRPr="00CA7B4C">
        <w:rPr>
          <w:lang w:eastAsia="en-US"/>
        </w:rPr>
        <w:t>72.619.342</w:t>
      </w:r>
      <w:r w:rsidR="00BA655C" w:rsidRPr="00CA7B4C">
        <w:rPr>
          <w:lang w:eastAsia="en-US"/>
        </w:rPr>
        <w:t xml:space="preserve"> kn, s indeksom od </w:t>
      </w:r>
      <w:r w:rsidR="00853844" w:rsidRPr="00CA7B4C">
        <w:rPr>
          <w:lang w:eastAsia="en-US"/>
        </w:rPr>
        <w:t>57,36</w:t>
      </w:r>
      <w:r w:rsidR="00BA655C" w:rsidRPr="00CA7B4C">
        <w:rPr>
          <w:lang w:eastAsia="en-US"/>
        </w:rPr>
        <w:t xml:space="preserve"> u odnosu na plan, </w:t>
      </w:r>
      <w:r w:rsidR="00853844" w:rsidRPr="00CA7B4C">
        <w:rPr>
          <w:lang w:eastAsia="en-US"/>
        </w:rPr>
        <w:t>što je za</w:t>
      </w:r>
      <w:r w:rsidR="00744DA1" w:rsidRPr="00CA7B4C">
        <w:rPr>
          <w:lang w:eastAsia="en-US"/>
        </w:rPr>
        <w:t xml:space="preserve"> </w:t>
      </w:r>
      <w:r w:rsidR="00853844" w:rsidRPr="00CA7B4C">
        <w:rPr>
          <w:lang w:eastAsia="en-US"/>
        </w:rPr>
        <w:t>174,95% više u odnosu na isto razdoblje 2020</w:t>
      </w:r>
      <w:r w:rsidR="00AD502E" w:rsidRPr="00CA7B4C">
        <w:rPr>
          <w:lang w:eastAsia="en-US"/>
        </w:rPr>
        <w:t>.</w:t>
      </w:r>
      <w:r w:rsidR="00BA655C" w:rsidRPr="00CA7B4C">
        <w:rPr>
          <w:lang w:eastAsia="en-US"/>
        </w:rPr>
        <w:t xml:space="preserve"> godine.</w:t>
      </w:r>
      <w:r w:rsidR="00A66A0B" w:rsidRPr="00CA7B4C">
        <w:rPr>
          <w:lang w:eastAsia="en-US"/>
        </w:rPr>
        <w:t xml:space="preserve"> Odnose se na </w:t>
      </w:r>
      <w:r w:rsidR="006A06E8" w:rsidRPr="00CA7B4C">
        <w:rPr>
          <w:b/>
          <w:lang w:eastAsia="en-US"/>
        </w:rPr>
        <w:t>Donacije od pravnih i fizičkih osoba izvan općeg proračuna</w:t>
      </w:r>
      <w:r w:rsidR="00A66A0B" w:rsidRPr="00CA7B4C">
        <w:rPr>
          <w:lang w:eastAsia="en-US"/>
        </w:rPr>
        <w:t xml:space="preserve"> ostvarene su iznoso</w:t>
      </w:r>
      <w:r w:rsidR="00853844" w:rsidRPr="00CA7B4C">
        <w:rPr>
          <w:lang w:eastAsia="en-US"/>
        </w:rPr>
        <w:t xml:space="preserve">m od 67.732.505 kn s indeksom 63,93 </w:t>
      </w:r>
      <w:r w:rsidR="006A06E8" w:rsidRPr="00CA7B4C">
        <w:rPr>
          <w:lang w:eastAsia="en-US"/>
        </w:rPr>
        <w:t>u odnosu na plan.</w:t>
      </w:r>
    </w:p>
    <w:p w14:paraId="6B732DA3" w14:textId="77777777" w:rsidR="001A2EE4" w:rsidRPr="00CA7B4C" w:rsidRDefault="001A2EE4" w:rsidP="0066727E">
      <w:pPr>
        <w:autoSpaceDE w:val="0"/>
        <w:autoSpaceDN w:val="0"/>
        <w:adjustRightInd w:val="0"/>
        <w:jc w:val="both"/>
        <w:rPr>
          <w:lang w:eastAsia="en-US"/>
        </w:rPr>
      </w:pPr>
      <w:r w:rsidRPr="00CA7B4C">
        <w:rPr>
          <w:lang w:eastAsia="en-US"/>
        </w:rPr>
        <w:t>Kapitalne donacije ost</w:t>
      </w:r>
      <w:r w:rsidR="00A66A0B" w:rsidRPr="00CA7B4C">
        <w:rPr>
          <w:lang w:eastAsia="en-US"/>
        </w:rPr>
        <w:t>varene su u ukupnom iznosu</w:t>
      </w:r>
      <w:r w:rsidR="007F4933" w:rsidRPr="00CA7B4C">
        <w:rPr>
          <w:lang w:eastAsia="en-US"/>
        </w:rPr>
        <w:t xml:space="preserve"> od </w:t>
      </w:r>
      <w:r w:rsidR="00853844" w:rsidRPr="00CA7B4C">
        <w:rPr>
          <w:lang w:eastAsia="en-US"/>
        </w:rPr>
        <w:t>62.335.419</w:t>
      </w:r>
      <w:r w:rsidR="00744DA1" w:rsidRPr="00CA7B4C">
        <w:rPr>
          <w:lang w:eastAsia="en-US"/>
        </w:rPr>
        <w:t xml:space="preserve"> kn</w:t>
      </w:r>
      <w:r w:rsidRPr="00CA7B4C">
        <w:rPr>
          <w:lang w:eastAsia="en-US"/>
        </w:rPr>
        <w:t>,</w:t>
      </w:r>
      <w:r w:rsidR="00A33ADB" w:rsidRPr="00CA7B4C">
        <w:rPr>
          <w:lang w:eastAsia="en-US"/>
        </w:rPr>
        <w:t xml:space="preserve"> što je </w:t>
      </w:r>
      <w:r w:rsidRPr="00CA7B4C">
        <w:rPr>
          <w:lang w:eastAsia="en-US"/>
        </w:rPr>
        <w:t xml:space="preserve"> z</w:t>
      </w:r>
      <w:r w:rsidR="00A66A0B" w:rsidRPr="00CA7B4C">
        <w:rPr>
          <w:lang w:eastAsia="en-US"/>
        </w:rPr>
        <w:t xml:space="preserve">a </w:t>
      </w:r>
      <w:r w:rsidR="00A33ADB" w:rsidRPr="00CA7B4C">
        <w:rPr>
          <w:lang w:eastAsia="en-US"/>
        </w:rPr>
        <w:t>40.989.549</w:t>
      </w:r>
      <w:r w:rsidRPr="00CA7B4C">
        <w:rPr>
          <w:lang w:eastAsia="en-US"/>
        </w:rPr>
        <w:t xml:space="preserve"> kn </w:t>
      </w:r>
      <w:r w:rsidR="00A66A0B" w:rsidRPr="00CA7B4C">
        <w:rPr>
          <w:lang w:eastAsia="en-US"/>
        </w:rPr>
        <w:t xml:space="preserve">više u odnosu na izvršenje </w:t>
      </w:r>
      <w:r w:rsidR="00916D76" w:rsidRPr="00CA7B4C">
        <w:rPr>
          <w:lang w:eastAsia="en-US"/>
        </w:rPr>
        <w:t xml:space="preserve">u istom razdoblju </w:t>
      </w:r>
      <w:r w:rsidR="00A33ADB" w:rsidRPr="00CA7B4C">
        <w:rPr>
          <w:lang w:eastAsia="en-US"/>
        </w:rPr>
        <w:t>2020. godine, odnosno 192,03</w:t>
      </w:r>
      <w:r w:rsidRPr="00CA7B4C">
        <w:rPr>
          <w:lang w:eastAsia="en-US"/>
        </w:rPr>
        <w:t>% više, a odnose se na sredstva učešća javih isporučitelja vodnih usluga za projekte</w:t>
      </w:r>
      <w:r w:rsidR="00A33ADB" w:rsidRPr="00CA7B4C">
        <w:rPr>
          <w:lang w:eastAsia="en-US"/>
        </w:rPr>
        <w:t xml:space="preserve"> </w:t>
      </w:r>
      <w:proofErr w:type="spellStart"/>
      <w:r w:rsidR="00A33ADB" w:rsidRPr="00CA7B4C">
        <w:rPr>
          <w:lang w:eastAsia="en-US"/>
        </w:rPr>
        <w:t>vodnokomunalne</w:t>
      </w:r>
      <w:proofErr w:type="spellEnd"/>
      <w:r w:rsidR="00A33ADB" w:rsidRPr="00CA7B4C">
        <w:rPr>
          <w:lang w:eastAsia="en-US"/>
        </w:rPr>
        <w:t xml:space="preserve"> infrastrukture</w:t>
      </w:r>
      <w:r w:rsidRPr="00CA7B4C">
        <w:rPr>
          <w:lang w:eastAsia="en-US"/>
        </w:rPr>
        <w:t xml:space="preserve"> sufinancirane bespovratnim sredstvima EU. </w:t>
      </w:r>
    </w:p>
    <w:p w14:paraId="3CAAB99B" w14:textId="77777777" w:rsidR="00A33ADB" w:rsidRPr="00CA7B4C" w:rsidRDefault="00F0272A" w:rsidP="0066727E">
      <w:pPr>
        <w:autoSpaceDE w:val="0"/>
        <w:autoSpaceDN w:val="0"/>
        <w:adjustRightInd w:val="0"/>
        <w:jc w:val="both"/>
        <w:rPr>
          <w:lang w:eastAsia="en-US"/>
        </w:rPr>
      </w:pPr>
      <w:r w:rsidRPr="00CA7B4C">
        <w:rPr>
          <w:lang w:eastAsia="en-US"/>
        </w:rPr>
        <w:t xml:space="preserve">Tekuće donacije </w:t>
      </w:r>
      <w:r w:rsidR="006A06E8" w:rsidRPr="00CA7B4C">
        <w:rPr>
          <w:lang w:eastAsia="en-US"/>
        </w:rPr>
        <w:t>ostvarene su</w:t>
      </w:r>
      <w:r w:rsidR="009A1250" w:rsidRPr="00CA7B4C">
        <w:rPr>
          <w:lang w:eastAsia="en-US"/>
        </w:rPr>
        <w:t xml:space="preserve"> u ukupnom iznosu</w:t>
      </w:r>
      <w:r w:rsidR="006A06E8" w:rsidRPr="00CA7B4C">
        <w:rPr>
          <w:lang w:eastAsia="en-US"/>
        </w:rPr>
        <w:t xml:space="preserve"> od</w:t>
      </w:r>
      <w:r w:rsidR="00A66A0B" w:rsidRPr="00CA7B4C">
        <w:rPr>
          <w:lang w:eastAsia="en-US"/>
        </w:rPr>
        <w:t xml:space="preserve"> </w:t>
      </w:r>
      <w:r w:rsidR="00A33ADB" w:rsidRPr="00CA7B4C">
        <w:rPr>
          <w:lang w:eastAsia="en-US"/>
        </w:rPr>
        <w:t>5.397.086</w:t>
      </w:r>
      <w:r w:rsidR="009A1250" w:rsidRPr="00CA7B4C">
        <w:rPr>
          <w:lang w:eastAsia="en-US"/>
        </w:rPr>
        <w:t xml:space="preserve"> kn</w:t>
      </w:r>
      <w:r w:rsidR="0096166E" w:rsidRPr="00CA7B4C">
        <w:rPr>
          <w:lang w:eastAsia="en-US"/>
        </w:rPr>
        <w:t>, a</w:t>
      </w:r>
      <w:r w:rsidR="009A1250" w:rsidRPr="00CA7B4C">
        <w:rPr>
          <w:lang w:eastAsia="en-US"/>
        </w:rPr>
        <w:t xml:space="preserve"> </w:t>
      </w:r>
      <w:r w:rsidR="003E0F48" w:rsidRPr="00CA7B4C">
        <w:rPr>
          <w:lang w:eastAsia="en-US"/>
        </w:rPr>
        <w:t>odnose se na</w:t>
      </w:r>
      <w:r w:rsidRPr="00CA7B4C">
        <w:rPr>
          <w:lang w:eastAsia="en-US"/>
        </w:rPr>
        <w:t xml:space="preserve"> </w:t>
      </w:r>
      <w:r w:rsidR="00C442F9" w:rsidRPr="00CA7B4C">
        <w:rPr>
          <w:lang w:eastAsia="en-US"/>
        </w:rPr>
        <w:t>refundacije</w:t>
      </w:r>
      <w:r w:rsidRPr="00CA7B4C">
        <w:rPr>
          <w:lang w:eastAsia="en-US"/>
        </w:rPr>
        <w:t xml:space="preserve"> HEP-a za program zaš</w:t>
      </w:r>
      <w:r w:rsidR="00A66A0B" w:rsidRPr="00CA7B4C">
        <w:rPr>
          <w:lang w:eastAsia="en-US"/>
        </w:rPr>
        <w:t>tite od štetnog djelovanja voda</w:t>
      </w:r>
      <w:r w:rsidR="00C442F9" w:rsidRPr="00CA7B4C">
        <w:rPr>
          <w:lang w:eastAsia="en-US"/>
        </w:rPr>
        <w:t>.</w:t>
      </w:r>
    </w:p>
    <w:p w14:paraId="7C9F3EA7" w14:textId="77777777" w:rsidR="000434DA" w:rsidRPr="00CA7B4C" w:rsidRDefault="00A33ADB" w:rsidP="0066727E">
      <w:pPr>
        <w:autoSpaceDE w:val="0"/>
        <w:autoSpaceDN w:val="0"/>
        <w:adjustRightInd w:val="0"/>
        <w:jc w:val="both"/>
        <w:rPr>
          <w:lang w:eastAsia="en-US"/>
        </w:rPr>
      </w:pPr>
      <w:r w:rsidRPr="00CA7B4C">
        <w:rPr>
          <w:lang w:eastAsia="en-US"/>
        </w:rPr>
        <w:t xml:space="preserve">Prihodi od prodaje robe ostvareni su u iznosu od 4.591.725 kn </w:t>
      </w:r>
      <w:r w:rsidR="005707AB" w:rsidRPr="00CA7B4C">
        <w:rPr>
          <w:lang w:eastAsia="en-US"/>
        </w:rPr>
        <w:t>zbog prodaje pijeska HRVATSKIM AUTOCESTAMA d.o.o. radi građenja javne građevine autoceste A5</w:t>
      </w:r>
      <w:r w:rsidRPr="00CA7B4C">
        <w:rPr>
          <w:lang w:eastAsia="en-US"/>
        </w:rPr>
        <w:t>,</w:t>
      </w:r>
      <w:r w:rsidRPr="00CA7B4C">
        <w:rPr>
          <w:color w:val="FF0000"/>
          <w:lang w:eastAsia="en-US"/>
        </w:rPr>
        <w:t xml:space="preserve"> </w:t>
      </w:r>
      <w:r w:rsidR="008153CC" w:rsidRPr="00CA7B4C">
        <w:rPr>
          <w:lang w:eastAsia="en-US"/>
        </w:rPr>
        <w:t>dok su prihodi</w:t>
      </w:r>
      <w:r w:rsidRPr="00CA7B4C">
        <w:rPr>
          <w:lang w:eastAsia="en-US"/>
        </w:rPr>
        <w:t xml:space="preserve"> od pruženih usluga</w:t>
      </w:r>
      <w:r w:rsidR="00943298" w:rsidRPr="00CA7B4C">
        <w:rPr>
          <w:lang w:eastAsia="en-US"/>
        </w:rPr>
        <w:t xml:space="preserve"> prehrane u kantini za zaposlene</w:t>
      </w:r>
      <w:r w:rsidR="008153CC" w:rsidRPr="00CA7B4C">
        <w:rPr>
          <w:lang w:eastAsia="en-US"/>
        </w:rPr>
        <w:t xml:space="preserve"> ostvareni iznosu od</w:t>
      </w:r>
      <w:r w:rsidRPr="00CA7B4C">
        <w:rPr>
          <w:lang w:eastAsia="en-US"/>
        </w:rPr>
        <w:t xml:space="preserve"> 295.112</w:t>
      </w:r>
      <w:r w:rsidR="00C442F9" w:rsidRPr="00CA7B4C">
        <w:rPr>
          <w:lang w:eastAsia="en-US"/>
        </w:rPr>
        <w:t xml:space="preserve"> </w:t>
      </w:r>
      <w:r w:rsidR="00943298" w:rsidRPr="00CA7B4C">
        <w:rPr>
          <w:lang w:eastAsia="en-US"/>
        </w:rPr>
        <w:t>kn.</w:t>
      </w:r>
    </w:p>
    <w:p w14:paraId="04339A96" w14:textId="77777777" w:rsidR="0057398F" w:rsidRPr="00CA7B4C" w:rsidRDefault="0057398F" w:rsidP="0066727E">
      <w:pPr>
        <w:autoSpaceDE w:val="0"/>
        <w:autoSpaceDN w:val="0"/>
        <w:adjustRightInd w:val="0"/>
        <w:jc w:val="both"/>
        <w:rPr>
          <w:lang w:eastAsia="en-US"/>
        </w:rPr>
      </w:pPr>
    </w:p>
    <w:p w14:paraId="4ABE212B" w14:textId="77777777" w:rsidR="00947338" w:rsidRPr="00CA7B4C" w:rsidRDefault="00947338" w:rsidP="0066727E">
      <w:pPr>
        <w:autoSpaceDE w:val="0"/>
        <w:autoSpaceDN w:val="0"/>
        <w:adjustRightInd w:val="0"/>
        <w:jc w:val="both"/>
        <w:rPr>
          <w:lang w:eastAsia="en-US"/>
        </w:rPr>
      </w:pPr>
      <w:r w:rsidRPr="00CA7B4C">
        <w:rPr>
          <w:b/>
          <w:lang w:eastAsia="en-US"/>
        </w:rPr>
        <w:t>Prihodi od prodaje nefinancijske imovine ostvareni su iznosom</w:t>
      </w:r>
      <w:r w:rsidRPr="00CA7B4C">
        <w:rPr>
          <w:lang w:eastAsia="en-US"/>
        </w:rPr>
        <w:t xml:space="preserve"> od 57.936 kn, s indeksom 38,62 u odnosu na plan, a sastoje se od prihoda od prodaje građevinskih objekata – stambeni objekti ostvarenih iznosom od 20.136 kn i prihoda od prodaje rashodovanih automobila u iznosu od 37.800 kn.</w:t>
      </w:r>
    </w:p>
    <w:p w14:paraId="79245CD7" w14:textId="77777777" w:rsidR="00947338" w:rsidRPr="00CA7B4C" w:rsidRDefault="00947338" w:rsidP="0066727E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</w:p>
    <w:p w14:paraId="030A9EC4" w14:textId="23D4664E" w:rsidR="00947338" w:rsidRPr="00CA7B4C" w:rsidRDefault="00947338" w:rsidP="0066727E">
      <w:pPr>
        <w:autoSpaceDE w:val="0"/>
        <w:autoSpaceDN w:val="0"/>
        <w:adjustRightInd w:val="0"/>
        <w:jc w:val="both"/>
        <w:rPr>
          <w:lang w:eastAsia="en-US"/>
        </w:rPr>
      </w:pPr>
      <w:r w:rsidRPr="00CA7B4C">
        <w:rPr>
          <w:lang w:eastAsia="en-US"/>
        </w:rPr>
        <w:t xml:space="preserve">U okviru ukupnih rashoda, </w:t>
      </w:r>
      <w:r w:rsidRPr="00CA7B4C">
        <w:rPr>
          <w:b/>
          <w:lang w:eastAsia="en-US"/>
        </w:rPr>
        <w:t>rashodi za administraciju i upravljanje</w:t>
      </w:r>
      <w:r w:rsidRPr="00CA7B4C">
        <w:rPr>
          <w:lang w:eastAsia="en-US"/>
        </w:rPr>
        <w:t xml:space="preserve"> ostvareni su u iznosu od 135.493.203 kn sa indeksom 42,37 u odnosu na plan, od čega se na rashode za zaposlene odnosi iznos od 98.659.563 kn s indeksom ostvarenja 45</w:t>
      </w:r>
      <w:r w:rsidR="00BB251C">
        <w:rPr>
          <w:lang w:eastAsia="en-US"/>
        </w:rPr>
        <w:t>,</w:t>
      </w:r>
      <w:r w:rsidRPr="00CA7B4C">
        <w:rPr>
          <w:lang w:eastAsia="en-US"/>
        </w:rPr>
        <w:t>91 u odnosu na plan</w:t>
      </w:r>
      <w:r w:rsidR="00F12B0B">
        <w:rPr>
          <w:lang w:eastAsia="en-US"/>
        </w:rPr>
        <w:t>,</w:t>
      </w:r>
      <w:r w:rsidRPr="00CA7B4C">
        <w:rPr>
          <w:lang w:eastAsia="en-US"/>
        </w:rPr>
        <w:t xml:space="preserve"> a na  materijalne rashode</w:t>
      </w:r>
      <w:r w:rsidRPr="00CA7B4C">
        <w:rPr>
          <w:color w:val="FF0000"/>
          <w:lang w:eastAsia="en-US"/>
        </w:rPr>
        <w:t xml:space="preserve"> </w:t>
      </w:r>
      <w:r w:rsidRPr="00CA7B4C">
        <w:rPr>
          <w:lang w:eastAsia="en-US"/>
        </w:rPr>
        <w:t>iznos od 25.482.943 kn s indeksom ostvarenja 36,81.</w:t>
      </w:r>
      <w:r w:rsidR="00616AAC">
        <w:rPr>
          <w:lang w:eastAsia="en-US"/>
        </w:rPr>
        <w:t xml:space="preserve"> </w:t>
      </w:r>
      <w:r w:rsidRPr="00CA7B4C">
        <w:rPr>
          <w:lang w:eastAsia="en-US"/>
        </w:rPr>
        <w:t xml:space="preserve">U 2021. godini rashodi za zaposlene veći su za 4,99%, a materijalni rashodi </w:t>
      </w:r>
      <w:r w:rsidRPr="00F6009F">
        <w:rPr>
          <w:lang w:eastAsia="en-US"/>
        </w:rPr>
        <w:t xml:space="preserve">manji za </w:t>
      </w:r>
      <w:r w:rsidR="00EA47EC" w:rsidRPr="00F6009F">
        <w:rPr>
          <w:lang w:eastAsia="en-US"/>
        </w:rPr>
        <w:t>7,30%</w:t>
      </w:r>
      <w:r w:rsidRPr="00F6009F">
        <w:rPr>
          <w:lang w:eastAsia="en-US"/>
        </w:rPr>
        <w:t xml:space="preserve"> u odnosu</w:t>
      </w:r>
      <w:r w:rsidRPr="00CA7B4C">
        <w:rPr>
          <w:lang w:eastAsia="en-US"/>
        </w:rPr>
        <w:t xml:space="preserve"> na isto razdoblje 2020. godine.</w:t>
      </w:r>
    </w:p>
    <w:p w14:paraId="49798604" w14:textId="77777777" w:rsidR="00947338" w:rsidRPr="00CA7B4C" w:rsidRDefault="00947338" w:rsidP="0066727E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</w:p>
    <w:p w14:paraId="561725DD" w14:textId="77777777" w:rsidR="00947338" w:rsidRPr="00CA7B4C" w:rsidRDefault="00947338" w:rsidP="0066727E">
      <w:pPr>
        <w:autoSpaceDE w:val="0"/>
        <w:autoSpaceDN w:val="0"/>
        <w:adjustRightInd w:val="0"/>
        <w:jc w:val="both"/>
        <w:rPr>
          <w:color w:val="C00000"/>
          <w:lang w:eastAsia="en-US"/>
        </w:rPr>
      </w:pPr>
      <w:r w:rsidRPr="00CA7B4C">
        <w:rPr>
          <w:b/>
          <w:lang w:eastAsia="en-US"/>
        </w:rPr>
        <w:lastRenderedPageBreak/>
        <w:t xml:space="preserve">Rashodi za informatizaciju i opremanje </w:t>
      </w:r>
      <w:r w:rsidRPr="00CA7B4C">
        <w:rPr>
          <w:lang w:eastAsia="en-US"/>
        </w:rPr>
        <w:t>ostvareni su sa iznosom od 4.844.567 kn a z</w:t>
      </w:r>
      <w:r w:rsidR="00146FDC">
        <w:rPr>
          <w:lang w:eastAsia="en-US"/>
        </w:rPr>
        <w:t>a poslovne zgrade 5.971.256 kn, od čega se najznačajniji iznos odnosi na izgradnju novog prostora i Centra za obranu od poplava u Opuzenu.</w:t>
      </w:r>
    </w:p>
    <w:p w14:paraId="51147B08" w14:textId="77777777" w:rsidR="00947338" w:rsidRPr="00CA7B4C" w:rsidRDefault="00947338" w:rsidP="0066727E">
      <w:pPr>
        <w:autoSpaceDE w:val="0"/>
        <w:autoSpaceDN w:val="0"/>
        <w:adjustRightInd w:val="0"/>
        <w:jc w:val="both"/>
        <w:rPr>
          <w:lang w:eastAsia="en-US"/>
        </w:rPr>
      </w:pPr>
    </w:p>
    <w:p w14:paraId="19C0C364" w14:textId="77777777" w:rsidR="00947338" w:rsidRPr="00CA7B4C" w:rsidRDefault="00947338" w:rsidP="0066727E">
      <w:pPr>
        <w:jc w:val="both"/>
        <w:rPr>
          <w:color w:val="FF0000"/>
          <w:lang w:eastAsia="en-US"/>
        </w:rPr>
      </w:pPr>
      <w:r w:rsidRPr="00CA7B4C">
        <w:rPr>
          <w:lang w:eastAsia="en-US"/>
        </w:rPr>
        <w:t>U okviru redovne djelatnosti (</w:t>
      </w:r>
      <w:r w:rsidRPr="00CA7B4C">
        <w:rPr>
          <w:b/>
          <w:lang w:eastAsia="en-US"/>
        </w:rPr>
        <w:t>program 1002 – tekuće tehničko i gospodarsko održavanje vodotoka i vodnih građevina</w:t>
      </w:r>
      <w:r w:rsidRPr="00CA7B4C">
        <w:rPr>
          <w:lang w:eastAsia="en-US"/>
        </w:rPr>
        <w:t>) realizirano je ukupno 408.985.896 kn, odnosno 39,65 u odnosu na plan. Najveći iznosi realizirani su u programu zaštite od štetnog djelovanja voda</w:t>
      </w:r>
      <w:r w:rsidR="006F07A5">
        <w:rPr>
          <w:lang w:eastAsia="en-US"/>
        </w:rPr>
        <w:t xml:space="preserve">, tj. </w:t>
      </w:r>
      <w:r w:rsidRPr="00CA7B4C">
        <w:rPr>
          <w:lang w:eastAsia="en-US"/>
        </w:rPr>
        <w:t>obrane od poplava u ukupnom iznosu od 297.618.783 kn kroz rashode za</w:t>
      </w:r>
      <w:r w:rsidR="006F07A5">
        <w:rPr>
          <w:lang w:eastAsia="en-US"/>
        </w:rPr>
        <w:t xml:space="preserve"> preventivnu</w:t>
      </w:r>
      <w:r w:rsidRPr="00CA7B4C">
        <w:rPr>
          <w:lang w:eastAsia="en-US"/>
        </w:rPr>
        <w:t>, redovnu i izvanrednu obranu od poplava na vodnim područjima redovno održavanje i obnavljanje vodotoka, vodnih građevina i vodnoga dobra (289.050.069</w:t>
      </w:r>
      <w:r w:rsidR="006F07A5">
        <w:rPr>
          <w:lang w:eastAsia="en-US"/>
        </w:rPr>
        <w:t xml:space="preserve"> kn)</w:t>
      </w:r>
      <w:r w:rsidRPr="00CA7B4C">
        <w:rPr>
          <w:lang w:eastAsia="en-US"/>
        </w:rPr>
        <w:t xml:space="preserve"> te održavanje i obnavljanje detaljnih melioracijskih građevina za odvodnju i navodnjavanje (8.568.714 kn). Rashodi za tehničke poslove od općeg interesa za upravljanje vodama ostvareni su sa 35.531.356 kn a odnose se na usluge studijskih poslova, </w:t>
      </w:r>
      <w:proofErr w:type="spellStart"/>
      <w:r w:rsidRPr="00CA7B4C">
        <w:rPr>
          <w:lang w:eastAsia="en-US"/>
        </w:rPr>
        <w:t>vodoistražnih</w:t>
      </w:r>
      <w:proofErr w:type="spellEnd"/>
      <w:r w:rsidRPr="00CA7B4C">
        <w:rPr>
          <w:lang w:eastAsia="en-US"/>
        </w:rPr>
        <w:t xml:space="preserve"> radova, monitoringa, planova upravljanja vodnim područjima, ocjena pri</w:t>
      </w:r>
      <w:r w:rsidR="006F07A5">
        <w:rPr>
          <w:lang w:eastAsia="en-US"/>
        </w:rPr>
        <w:t>hvatljivosti zahvata na prirodu</w:t>
      </w:r>
      <w:r w:rsidRPr="00CA7B4C">
        <w:rPr>
          <w:lang w:eastAsia="en-US"/>
        </w:rPr>
        <w:t>,</w:t>
      </w:r>
      <w:r w:rsidR="006F07A5">
        <w:rPr>
          <w:lang w:eastAsia="en-US"/>
        </w:rPr>
        <w:t xml:space="preserve"> </w:t>
      </w:r>
      <w:r w:rsidRPr="00CA7B4C">
        <w:rPr>
          <w:lang w:eastAsia="en-US"/>
        </w:rPr>
        <w:t>projekata s međunarodnim sufinanciranjem i ostalo. Izdaci za obračun i naplatu naknada ostvareni su sa 70.322.698 kn</w:t>
      </w:r>
      <w:r w:rsidRPr="00CA7B4C">
        <w:rPr>
          <w:rFonts w:eastAsia="Calibri"/>
        </w:rPr>
        <w:t xml:space="preserve"> (</w:t>
      </w:r>
      <w:r w:rsidRPr="00CA7B4C">
        <w:rPr>
          <w:lang w:eastAsia="en-US"/>
        </w:rPr>
        <w:t>u okviru ovih izdataka najveći dio, čak 87,3</w:t>
      </w:r>
      <w:r w:rsidR="003A798A">
        <w:rPr>
          <w:lang w:eastAsia="en-US"/>
        </w:rPr>
        <w:t>0</w:t>
      </w:r>
      <w:r w:rsidRPr="00CA7B4C">
        <w:rPr>
          <w:lang w:eastAsia="en-US"/>
        </w:rPr>
        <w:t xml:space="preserve">% odnosno 61.385.780 kn se odnosi na zakonsku obavezu plaćanja naknade od 5% za usluge obračuna i naplate naknade za zaštitu i korištenje voda pravnim osobama koje obavljaju vodoopskrbnu djelatnost i 10% pravnim osobama, odnosno jedinicama lokalne samouprave koje obavljaju poslove utvrđivanja i naplate komunalne naknade i uz to naplaćuju i naknadu za uređenje voda), rashodi za </w:t>
      </w:r>
      <w:proofErr w:type="spellStart"/>
      <w:r w:rsidRPr="00CA7B4C">
        <w:rPr>
          <w:lang w:eastAsia="en-US"/>
        </w:rPr>
        <w:t>vodnogospodarski</w:t>
      </w:r>
      <w:proofErr w:type="spellEnd"/>
      <w:r w:rsidRPr="00CA7B4C">
        <w:rPr>
          <w:lang w:eastAsia="en-US"/>
        </w:rPr>
        <w:t xml:space="preserve"> laboratorij ostvareni su sa 2.882.381 kn.</w:t>
      </w:r>
    </w:p>
    <w:p w14:paraId="131492DF" w14:textId="77777777" w:rsidR="00947338" w:rsidRPr="00CA7B4C" w:rsidRDefault="00947338" w:rsidP="0066727E">
      <w:pPr>
        <w:jc w:val="both"/>
        <w:rPr>
          <w:lang w:eastAsia="en-US"/>
        </w:rPr>
      </w:pPr>
      <w:r w:rsidRPr="00CA7B4C">
        <w:rPr>
          <w:lang w:eastAsia="en-US"/>
        </w:rPr>
        <w:t>Izdaci za sređivanje vlasništva na vodnom dobru ostvareni su sa 1.011.908 kn, a ostali izvanredni izdaci ostvareni su sa 1.612.309 kn.</w:t>
      </w:r>
    </w:p>
    <w:p w14:paraId="175329B0" w14:textId="5EE114C1" w:rsidR="004E0993" w:rsidRPr="00CA7B4C" w:rsidRDefault="004E0993" w:rsidP="0066727E">
      <w:pPr>
        <w:jc w:val="both"/>
        <w:rPr>
          <w:noProof/>
          <w:lang w:eastAsia="en-US"/>
        </w:rPr>
      </w:pPr>
      <w:r w:rsidRPr="00CA7B4C">
        <w:rPr>
          <w:b/>
          <w:lang w:eastAsia="en-US"/>
        </w:rPr>
        <w:t>U okviru kapitalnih rashoda i transfera, odnosno programa investicijskih aktivnosti - Program 1003</w:t>
      </w:r>
      <w:r w:rsidRPr="00CA7B4C">
        <w:rPr>
          <w:lang w:eastAsia="en-US"/>
        </w:rPr>
        <w:t xml:space="preserve">  ostvareno je ukupno 1.379.766.233 kn s indeksom 46,15 u odnosu na planirano, u odnosu na isto razdoblje 2020.</w:t>
      </w:r>
      <w:r w:rsidR="00A8596F">
        <w:rPr>
          <w:lang w:eastAsia="en-US"/>
        </w:rPr>
        <w:t xml:space="preserve"> </w:t>
      </w:r>
      <w:r w:rsidRPr="00CA7B4C">
        <w:rPr>
          <w:lang w:eastAsia="en-US"/>
        </w:rPr>
        <w:t>g</w:t>
      </w:r>
      <w:r w:rsidR="00A8596F">
        <w:rPr>
          <w:lang w:eastAsia="en-US"/>
        </w:rPr>
        <w:t>odine</w:t>
      </w:r>
      <w:r w:rsidRPr="00CA7B4C">
        <w:rPr>
          <w:lang w:eastAsia="en-US"/>
        </w:rPr>
        <w:t xml:space="preserve"> više za 490.826.581 kn. U izvještajnom razdoblju realizirano je kako slijedi:</w:t>
      </w:r>
    </w:p>
    <w:p w14:paraId="6C731303" w14:textId="77777777" w:rsidR="004E0993" w:rsidRPr="00CA7B4C" w:rsidRDefault="004E0993" w:rsidP="0066727E">
      <w:pPr>
        <w:numPr>
          <w:ilvl w:val="0"/>
          <w:numId w:val="8"/>
        </w:numPr>
        <w:jc w:val="both"/>
        <w:rPr>
          <w:lang w:eastAsia="en-US"/>
        </w:rPr>
      </w:pPr>
      <w:r w:rsidRPr="00CA7B4C">
        <w:rPr>
          <w:lang w:eastAsia="en-US"/>
        </w:rPr>
        <w:t xml:space="preserve">K100003 ulaganja u objekte zaštite od štetnog djelovanja voda – razvoj sustava zaštite od poplava i drugih oblika štetnog djelovanja voda uključivo izradu projektne dokumentacije za kapitalne investicije, provođenje postupka ishođenja dozvola i rekonstrukciju postojećih te izgradnju novih vodnih građevina i građevina osnovne melioracijske odvodnje (brana, nasipa, ustava, </w:t>
      </w:r>
      <w:proofErr w:type="spellStart"/>
      <w:r w:rsidRPr="00CA7B4C">
        <w:rPr>
          <w:lang w:eastAsia="en-US"/>
        </w:rPr>
        <w:t>obaloutvrda</w:t>
      </w:r>
      <w:proofErr w:type="spellEnd"/>
      <w:r w:rsidRPr="00CA7B4C">
        <w:rPr>
          <w:lang w:eastAsia="en-US"/>
        </w:rPr>
        <w:t xml:space="preserve">, retencija, akumulacija i </w:t>
      </w:r>
      <w:r w:rsidRPr="007C4A6B">
        <w:rPr>
          <w:lang w:eastAsia="en-US"/>
        </w:rPr>
        <w:t xml:space="preserve">dr.) </w:t>
      </w:r>
      <w:r w:rsidR="007C4A6B" w:rsidRPr="007C4A6B">
        <w:rPr>
          <w:lang w:eastAsia="en-US"/>
        </w:rPr>
        <w:t>74.428.043</w:t>
      </w:r>
      <w:r w:rsidRPr="007C4A6B">
        <w:rPr>
          <w:lang w:eastAsia="en-US"/>
        </w:rPr>
        <w:t xml:space="preserve"> kn.</w:t>
      </w:r>
      <w:r w:rsidR="00A634D8" w:rsidRPr="007C4A6B">
        <w:rPr>
          <w:lang w:eastAsia="en-US"/>
        </w:rPr>
        <w:t xml:space="preserve">  </w:t>
      </w:r>
      <w:r w:rsidRPr="007C4A6B">
        <w:rPr>
          <w:lang w:eastAsia="en-US"/>
        </w:rPr>
        <w:t>Vrijednosno</w:t>
      </w:r>
      <w:r w:rsidRPr="00CA7B4C">
        <w:rPr>
          <w:lang w:eastAsia="en-US"/>
        </w:rPr>
        <w:t xml:space="preserve"> značajnije investicije; uređenje obale Male Neretve sa zaštitom zaobalja, regulacija vodotoka </w:t>
      </w:r>
      <w:proofErr w:type="spellStart"/>
      <w:r w:rsidRPr="00CA7B4C">
        <w:rPr>
          <w:lang w:eastAsia="en-US"/>
        </w:rPr>
        <w:t>Ričina</w:t>
      </w:r>
      <w:proofErr w:type="spellEnd"/>
      <w:r w:rsidRPr="00CA7B4C">
        <w:rPr>
          <w:lang w:eastAsia="en-US"/>
        </w:rPr>
        <w:t xml:space="preserve"> u Zadru,</w:t>
      </w:r>
      <w:r w:rsidR="00E36AC3">
        <w:rPr>
          <w:lang w:eastAsia="en-US"/>
        </w:rPr>
        <w:t xml:space="preserve"> </w:t>
      </w:r>
      <w:r w:rsidRPr="00CA7B4C">
        <w:rPr>
          <w:lang w:eastAsia="en-US"/>
        </w:rPr>
        <w:t xml:space="preserve">uređenje oborinske odvodnje u </w:t>
      </w:r>
      <w:proofErr w:type="spellStart"/>
      <w:r w:rsidRPr="00CA7B4C">
        <w:rPr>
          <w:lang w:eastAsia="en-US"/>
        </w:rPr>
        <w:t>Bokanjcu</w:t>
      </w:r>
      <w:proofErr w:type="spellEnd"/>
      <w:r w:rsidRPr="00CA7B4C">
        <w:rPr>
          <w:lang w:eastAsia="en-US"/>
        </w:rPr>
        <w:t>, uređenje rijeke Drave u Osijeku, regulacija Dunava kod Vukovara,</w:t>
      </w:r>
      <w:r w:rsidR="003B0D2A" w:rsidRPr="00CA7B4C">
        <w:rPr>
          <w:lang w:eastAsia="en-US"/>
        </w:rPr>
        <w:t xml:space="preserve"> </w:t>
      </w:r>
      <w:r w:rsidRPr="00CA7B4C">
        <w:rPr>
          <w:lang w:eastAsia="en-US"/>
        </w:rPr>
        <w:t xml:space="preserve">rekonstrukcija </w:t>
      </w:r>
      <w:proofErr w:type="spellStart"/>
      <w:r w:rsidRPr="00CA7B4C">
        <w:rPr>
          <w:lang w:eastAsia="en-US"/>
        </w:rPr>
        <w:t>uspornih</w:t>
      </w:r>
      <w:proofErr w:type="spellEnd"/>
      <w:r w:rsidRPr="00CA7B4C">
        <w:rPr>
          <w:lang w:eastAsia="en-US"/>
        </w:rPr>
        <w:t xml:space="preserve"> nasipa uz </w:t>
      </w:r>
      <w:proofErr w:type="spellStart"/>
      <w:r w:rsidRPr="00CA7B4C">
        <w:rPr>
          <w:lang w:eastAsia="en-US"/>
        </w:rPr>
        <w:t>Trnavu</w:t>
      </w:r>
      <w:proofErr w:type="spellEnd"/>
      <w:r w:rsidRPr="00CA7B4C">
        <w:rPr>
          <w:lang w:eastAsia="en-US"/>
        </w:rPr>
        <w:t xml:space="preserve">, </w:t>
      </w:r>
      <w:r w:rsidR="003B0D2A" w:rsidRPr="00CA7B4C">
        <w:rPr>
          <w:lang w:eastAsia="en-US"/>
        </w:rPr>
        <w:t xml:space="preserve">izgradnja crpne stanice </w:t>
      </w:r>
      <w:proofErr w:type="spellStart"/>
      <w:r w:rsidR="003B0D2A" w:rsidRPr="00CA7B4C">
        <w:rPr>
          <w:lang w:eastAsia="en-US"/>
        </w:rPr>
        <w:t>Teča</w:t>
      </w:r>
      <w:proofErr w:type="spellEnd"/>
      <w:r w:rsidRPr="00CA7B4C">
        <w:rPr>
          <w:lang w:eastAsia="en-US"/>
        </w:rPr>
        <w:t>,</w:t>
      </w:r>
      <w:r w:rsidR="003B0D2A" w:rsidRPr="00CA7B4C">
        <w:rPr>
          <w:lang w:eastAsia="en-US"/>
        </w:rPr>
        <w:t xml:space="preserve"> </w:t>
      </w:r>
      <w:r w:rsidRPr="00CA7B4C">
        <w:rPr>
          <w:lang w:eastAsia="en-US"/>
        </w:rPr>
        <w:t xml:space="preserve">zaštita </w:t>
      </w:r>
      <w:proofErr w:type="spellStart"/>
      <w:r w:rsidRPr="00CA7B4C">
        <w:rPr>
          <w:lang w:eastAsia="en-US"/>
        </w:rPr>
        <w:t>Topuskog</w:t>
      </w:r>
      <w:proofErr w:type="spellEnd"/>
      <w:r w:rsidRPr="00CA7B4C">
        <w:rPr>
          <w:lang w:eastAsia="en-US"/>
        </w:rPr>
        <w:t xml:space="preserve"> i Kostajnice od visokih voda, akumulacija </w:t>
      </w:r>
      <w:proofErr w:type="spellStart"/>
      <w:r w:rsidRPr="00CA7B4C">
        <w:rPr>
          <w:lang w:eastAsia="en-US"/>
        </w:rPr>
        <w:t>Švajcarija</w:t>
      </w:r>
      <w:proofErr w:type="spellEnd"/>
      <w:r w:rsidRPr="00CA7B4C">
        <w:rPr>
          <w:lang w:eastAsia="en-US"/>
        </w:rPr>
        <w:t>, retencija Vrbovec i ostalo</w:t>
      </w:r>
      <w:r w:rsidR="006F07A5">
        <w:rPr>
          <w:lang w:eastAsia="en-US"/>
        </w:rPr>
        <w:t>;</w:t>
      </w:r>
    </w:p>
    <w:p w14:paraId="15AD3E46" w14:textId="77777777" w:rsidR="004E0993" w:rsidRPr="00CA7B4C" w:rsidRDefault="004E0993" w:rsidP="0066727E">
      <w:pPr>
        <w:numPr>
          <w:ilvl w:val="0"/>
          <w:numId w:val="8"/>
        </w:numPr>
        <w:jc w:val="both"/>
        <w:rPr>
          <w:lang w:eastAsia="en-US"/>
        </w:rPr>
      </w:pPr>
      <w:r w:rsidRPr="00CA7B4C">
        <w:rPr>
          <w:lang w:eastAsia="en-US"/>
        </w:rPr>
        <w:t>K100004 ulaganja u obnovu i razvitak vodoopskrbe – osiguranje dovoljnih količina vode zadovoljavajuće kakvoće, sukladno postojećoj regulativi, za postojeće i razvojne potrebe svih korisnika (stanovništva i gospodarstva) kroz izgradnju glavnih i magistralnih cjevovoda, zdenaca, crpnih stanica, vodospremnika, vodoopskrbnih sustava, vodocrpilišta, sanacija gubitaka na vodoopskrbnim sustavima, priprema projekata i drugo na različitim vodoopskrbnim zonama 83.821.566</w:t>
      </w:r>
      <w:r w:rsidR="006F07A5">
        <w:rPr>
          <w:lang w:eastAsia="en-US"/>
        </w:rPr>
        <w:t xml:space="preserve"> kn;</w:t>
      </w:r>
    </w:p>
    <w:p w14:paraId="323AB15D" w14:textId="77777777" w:rsidR="004E0993" w:rsidRPr="00CA7B4C" w:rsidRDefault="004E0993" w:rsidP="0066727E">
      <w:pPr>
        <w:numPr>
          <w:ilvl w:val="0"/>
          <w:numId w:val="8"/>
        </w:numPr>
        <w:jc w:val="both"/>
        <w:rPr>
          <w:lang w:eastAsia="en-US"/>
        </w:rPr>
      </w:pPr>
      <w:r w:rsidRPr="00CA7B4C">
        <w:rPr>
          <w:lang w:eastAsia="en-US"/>
        </w:rPr>
        <w:t xml:space="preserve">K100005 ulaganja u objekte zaštite voda i mora od zagađivanja – izrada projektne i ostale dokumentacije, te obnova i izgradnja glavnih kolektora, sekundarne mreže, crpnih stanica, uređaja za pročišćavanje otpadnih voda, te ostalih </w:t>
      </w:r>
      <w:proofErr w:type="spellStart"/>
      <w:r w:rsidRPr="00CA7B4C">
        <w:rPr>
          <w:lang w:eastAsia="en-US"/>
        </w:rPr>
        <w:t>vodnokomunalnih</w:t>
      </w:r>
      <w:proofErr w:type="spellEnd"/>
      <w:r w:rsidRPr="00CA7B4C">
        <w:rPr>
          <w:lang w:eastAsia="en-US"/>
        </w:rPr>
        <w:t xml:space="preserve"> građevina u okviru sustava javne odvodnje 53.137.404 </w:t>
      </w:r>
      <w:r w:rsidR="006F07A5">
        <w:rPr>
          <w:lang w:eastAsia="en-US"/>
        </w:rPr>
        <w:t>kn;</w:t>
      </w:r>
    </w:p>
    <w:p w14:paraId="10B2FD87" w14:textId="77777777" w:rsidR="004E0993" w:rsidRPr="00CA7B4C" w:rsidRDefault="004E0993" w:rsidP="0066727E">
      <w:pPr>
        <w:numPr>
          <w:ilvl w:val="0"/>
          <w:numId w:val="8"/>
        </w:numPr>
        <w:jc w:val="both"/>
        <w:rPr>
          <w:noProof/>
          <w:lang w:eastAsia="en-US"/>
        </w:rPr>
      </w:pPr>
      <w:r w:rsidRPr="00CA7B4C">
        <w:rPr>
          <w:lang w:eastAsia="en-US"/>
        </w:rPr>
        <w:t>K100006 ulaganja u materijalnu i nematerijalnu imovinu</w:t>
      </w:r>
      <w:r w:rsidR="006F07A5">
        <w:rPr>
          <w:lang w:eastAsia="en-US"/>
        </w:rPr>
        <w:t xml:space="preserve"> </w:t>
      </w:r>
      <w:r w:rsidRPr="00CA7B4C">
        <w:rPr>
          <w:lang w:eastAsia="en-US"/>
        </w:rPr>
        <w:t>- zemljište za izgradnju vodnih građevina – 10.705.708</w:t>
      </w:r>
      <w:r w:rsidR="006F07A5">
        <w:rPr>
          <w:lang w:eastAsia="en-US"/>
        </w:rPr>
        <w:t xml:space="preserve"> kn;</w:t>
      </w:r>
    </w:p>
    <w:p w14:paraId="3DB4D51F" w14:textId="77777777" w:rsidR="004E0993" w:rsidRPr="00CA7B4C" w:rsidRDefault="004E0993" w:rsidP="0066727E">
      <w:pPr>
        <w:numPr>
          <w:ilvl w:val="0"/>
          <w:numId w:val="8"/>
        </w:numPr>
        <w:jc w:val="both"/>
        <w:rPr>
          <w:lang w:eastAsia="en-US"/>
        </w:rPr>
      </w:pPr>
      <w:r w:rsidRPr="00CA7B4C">
        <w:rPr>
          <w:lang w:eastAsia="en-US"/>
        </w:rPr>
        <w:lastRenderedPageBreak/>
        <w:t xml:space="preserve">K100007 ulaganja u projekte navodnjavanja – sufinanciranje projektne dokumentacije sa županijama investitorima i građenje u projektima navodnjavanja 6.194.170 </w:t>
      </w:r>
      <w:r w:rsidR="006F07A5">
        <w:rPr>
          <w:lang w:eastAsia="en-US"/>
        </w:rPr>
        <w:t>kn;</w:t>
      </w:r>
    </w:p>
    <w:p w14:paraId="5D60DF20" w14:textId="77777777" w:rsidR="004E0993" w:rsidRPr="00CA7B4C" w:rsidRDefault="004E0993" w:rsidP="0066727E">
      <w:pPr>
        <w:numPr>
          <w:ilvl w:val="0"/>
          <w:numId w:val="8"/>
        </w:numPr>
        <w:jc w:val="both"/>
        <w:rPr>
          <w:lang w:eastAsia="en-US"/>
        </w:rPr>
      </w:pPr>
      <w:r w:rsidRPr="00CA7B4C">
        <w:rPr>
          <w:lang w:eastAsia="en-US"/>
        </w:rPr>
        <w:t>K100008 ulaganja u projekte iz EU fondova ukupno 1.131</w:t>
      </w:r>
      <w:r w:rsidR="003B0D2A" w:rsidRPr="00CA7B4C">
        <w:rPr>
          <w:lang w:eastAsia="en-US"/>
        </w:rPr>
        <w:t>.</w:t>
      </w:r>
      <w:r w:rsidRPr="00CA7B4C">
        <w:rPr>
          <w:lang w:eastAsia="en-US"/>
        </w:rPr>
        <w:t>397.284 kn,  što je više za 569.552.868 kn od istog razdoblja 2020.</w:t>
      </w:r>
      <w:r w:rsidR="006F07A5">
        <w:rPr>
          <w:lang w:eastAsia="en-US"/>
        </w:rPr>
        <w:t xml:space="preserve"> </w:t>
      </w:r>
      <w:r w:rsidRPr="00CA7B4C">
        <w:rPr>
          <w:lang w:eastAsia="en-US"/>
        </w:rPr>
        <w:t xml:space="preserve">godine što je pokazatelj velikog angažmana na investicijskim aktivnostima na svim područjima RH. Od ukupne realizacije ulaganje u </w:t>
      </w:r>
      <w:proofErr w:type="spellStart"/>
      <w:r w:rsidRPr="00CA7B4C">
        <w:rPr>
          <w:lang w:eastAsia="en-US"/>
        </w:rPr>
        <w:t>vodnokomunalnu</w:t>
      </w:r>
      <w:proofErr w:type="spellEnd"/>
      <w:r w:rsidRPr="00CA7B4C">
        <w:rPr>
          <w:lang w:eastAsia="en-US"/>
        </w:rPr>
        <w:t xml:space="preserve"> infrastrukturu  iznosi 1.075.768.974 kn  i odnose se na 60 projekata koji su u provedbi; izgradnja i rekonstrukcija sustava javne vodoopskrbe i odvodnje, uređaja za pročišćavanje otpadnih voda, uređaja za pročišćavanje pitke vode, nabava opreme za održavanje komunalnih sustava, usluge nadzora, promidžbe i vidljivosti, vođenja projekata; kao i aktivnosti potrebne za pripremu novih projekata: izrada studijske, projektne i druge tehničke dokumentacije, idejnih i glavnih projekata vodoopskrbe i odvodnje te aplikacija za prijavu projekata za EU sufinanciranje.</w:t>
      </w:r>
    </w:p>
    <w:p w14:paraId="685CB8CC" w14:textId="77777777" w:rsidR="004E0993" w:rsidRPr="00CA7B4C" w:rsidRDefault="004E0993" w:rsidP="0066727E">
      <w:pPr>
        <w:ind w:left="720"/>
        <w:jc w:val="both"/>
        <w:rPr>
          <w:lang w:eastAsia="en-US"/>
        </w:rPr>
      </w:pPr>
      <w:r w:rsidRPr="00CA7B4C">
        <w:rPr>
          <w:lang w:eastAsia="en-US"/>
        </w:rPr>
        <w:t xml:space="preserve">Ulaganje u EU projekt konkurentnost i kohezija „poplave“ iznosi 53.855.956 kn (modernizacija </w:t>
      </w:r>
      <w:proofErr w:type="spellStart"/>
      <w:r w:rsidRPr="00CA7B4C">
        <w:rPr>
          <w:lang w:eastAsia="en-US"/>
        </w:rPr>
        <w:t>lijevoobalnih</w:t>
      </w:r>
      <w:proofErr w:type="spellEnd"/>
      <w:r w:rsidRPr="00CA7B4C">
        <w:rPr>
          <w:lang w:eastAsia="en-US"/>
        </w:rPr>
        <w:t xml:space="preserve"> savskih nasipa, zaštita od poplava grada Ogulina,</w:t>
      </w:r>
      <w:r w:rsidR="00E36AC3">
        <w:rPr>
          <w:lang w:eastAsia="en-US"/>
        </w:rPr>
        <w:t xml:space="preserve"> </w:t>
      </w:r>
      <w:r w:rsidRPr="00CA7B4C">
        <w:rPr>
          <w:lang w:eastAsia="en-US"/>
        </w:rPr>
        <w:t xml:space="preserve">unapređenje </w:t>
      </w:r>
      <w:proofErr w:type="spellStart"/>
      <w:r w:rsidRPr="00CA7B4C">
        <w:rPr>
          <w:lang w:eastAsia="en-US"/>
        </w:rPr>
        <w:t>negrađevinskih</w:t>
      </w:r>
      <w:proofErr w:type="spellEnd"/>
      <w:r w:rsidRPr="00CA7B4C">
        <w:rPr>
          <w:lang w:eastAsia="en-US"/>
        </w:rPr>
        <w:t xml:space="preserve"> mjera upravljanja rizicima od poplava, zaštita od poplava karlovačko sisačkog područja)</w:t>
      </w:r>
      <w:r w:rsidR="006F07A5">
        <w:rPr>
          <w:lang w:eastAsia="en-US"/>
        </w:rPr>
        <w:t>;</w:t>
      </w:r>
    </w:p>
    <w:p w14:paraId="482A52B6" w14:textId="77777777" w:rsidR="004E0993" w:rsidRPr="00CA7B4C" w:rsidRDefault="004E0993" w:rsidP="0066727E">
      <w:pPr>
        <w:numPr>
          <w:ilvl w:val="0"/>
          <w:numId w:val="8"/>
        </w:numPr>
        <w:jc w:val="both"/>
        <w:rPr>
          <w:lang w:eastAsia="en-US"/>
        </w:rPr>
      </w:pPr>
      <w:r w:rsidRPr="00CA7B4C">
        <w:rPr>
          <w:lang w:eastAsia="en-US"/>
        </w:rPr>
        <w:t xml:space="preserve">K100009 ulaganja u projekte Švicarska darovnica – poboljšanje </w:t>
      </w:r>
      <w:proofErr w:type="spellStart"/>
      <w:r w:rsidRPr="00CA7B4C">
        <w:rPr>
          <w:lang w:eastAsia="en-US"/>
        </w:rPr>
        <w:t>vodnokomunalne</w:t>
      </w:r>
      <w:proofErr w:type="spellEnd"/>
      <w:r w:rsidRPr="00CA7B4C">
        <w:rPr>
          <w:lang w:eastAsia="en-US"/>
        </w:rPr>
        <w:t xml:space="preserve"> infrastrukture na području aglomeracije na području Delnica, </w:t>
      </w:r>
      <w:proofErr w:type="spellStart"/>
      <w:r w:rsidRPr="00CA7B4C">
        <w:rPr>
          <w:lang w:eastAsia="en-US"/>
        </w:rPr>
        <w:t>Fužina</w:t>
      </w:r>
      <w:proofErr w:type="spellEnd"/>
      <w:r w:rsidRPr="00CA7B4C">
        <w:rPr>
          <w:lang w:eastAsia="en-US"/>
        </w:rPr>
        <w:t xml:space="preserve"> i Brod </w:t>
      </w:r>
      <w:proofErr w:type="spellStart"/>
      <w:r w:rsidRPr="00CA7B4C">
        <w:rPr>
          <w:lang w:eastAsia="en-US"/>
        </w:rPr>
        <w:t>Moravice</w:t>
      </w:r>
      <w:proofErr w:type="spellEnd"/>
      <w:r w:rsidRPr="00CA7B4C">
        <w:rPr>
          <w:lang w:eastAsia="en-US"/>
        </w:rPr>
        <w:t xml:space="preserve"> 18.447.694 kn</w:t>
      </w:r>
      <w:r w:rsidR="006F07A5">
        <w:rPr>
          <w:lang w:eastAsia="en-US"/>
        </w:rPr>
        <w:t>;</w:t>
      </w:r>
    </w:p>
    <w:p w14:paraId="1AB3D979" w14:textId="77777777" w:rsidR="004E0993" w:rsidRPr="00CA7B4C" w:rsidRDefault="004E0993" w:rsidP="0066727E">
      <w:pPr>
        <w:numPr>
          <w:ilvl w:val="0"/>
          <w:numId w:val="8"/>
        </w:numPr>
        <w:jc w:val="both"/>
        <w:rPr>
          <w:lang w:eastAsia="en-US"/>
        </w:rPr>
      </w:pPr>
      <w:r w:rsidRPr="00CA7B4C">
        <w:rPr>
          <w:lang w:eastAsia="en-US"/>
        </w:rPr>
        <w:t>K100010 ulaganje u projekte Sanacije klizišta – sufinanciranje troškova sanacije klizišta i odrona nastalih djelovanjem erozija i bujica kojima je ugrožena javna infrastruktura (županijske i nerazvrstane ceste) u iznosu 1.634.364</w:t>
      </w:r>
      <w:r w:rsidR="003B0D2A" w:rsidRPr="00CA7B4C">
        <w:rPr>
          <w:lang w:eastAsia="en-US"/>
        </w:rPr>
        <w:t xml:space="preserve"> </w:t>
      </w:r>
      <w:r w:rsidRPr="00CA7B4C">
        <w:rPr>
          <w:lang w:eastAsia="en-US"/>
        </w:rPr>
        <w:t>kn.</w:t>
      </w:r>
    </w:p>
    <w:p w14:paraId="00AACA22" w14:textId="1C2BFDB7" w:rsidR="004E0993" w:rsidRDefault="004E0993" w:rsidP="0066727E">
      <w:pPr>
        <w:jc w:val="both"/>
        <w:rPr>
          <w:lang w:eastAsia="en-US"/>
        </w:rPr>
      </w:pPr>
    </w:p>
    <w:p w14:paraId="65D248C7" w14:textId="77777777" w:rsidR="004E0993" w:rsidRPr="001672F5" w:rsidRDefault="004E0993" w:rsidP="0066727E">
      <w:pPr>
        <w:jc w:val="both"/>
        <w:rPr>
          <w:b/>
          <w:bCs/>
          <w:color w:val="000000"/>
        </w:rPr>
      </w:pPr>
      <w:r w:rsidRPr="001672F5">
        <w:rPr>
          <w:b/>
          <w:bCs/>
          <w:color w:val="000000"/>
        </w:rPr>
        <w:t xml:space="preserve">2. RAČUN FINANCIRANJA </w:t>
      </w:r>
    </w:p>
    <w:p w14:paraId="4F3ED90A" w14:textId="77777777" w:rsidR="004E0993" w:rsidRPr="00CA7B4C" w:rsidRDefault="004E0993" w:rsidP="0066727E">
      <w:pPr>
        <w:jc w:val="both"/>
        <w:rPr>
          <w:color w:val="000000"/>
          <w:lang w:eastAsia="en-US"/>
        </w:rPr>
      </w:pPr>
    </w:p>
    <w:p w14:paraId="39193597" w14:textId="77777777" w:rsidR="004E0993" w:rsidRPr="00CA7B4C" w:rsidRDefault="004E0993" w:rsidP="0066727E">
      <w:pPr>
        <w:jc w:val="both"/>
        <w:rPr>
          <w:lang w:eastAsia="en-US"/>
        </w:rPr>
      </w:pPr>
      <w:r w:rsidRPr="00CA7B4C">
        <w:rPr>
          <w:color w:val="000000"/>
          <w:lang w:eastAsia="en-US"/>
        </w:rPr>
        <w:t xml:space="preserve">Kroz račun financiranja evidentirano je ukupno 199.708.008 kn primitaka po osnovi zaduživanja od kreditora Erste &amp; </w:t>
      </w:r>
      <w:proofErr w:type="spellStart"/>
      <w:r w:rsidRPr="00CA7B4C">
        <w:rPr>
          <w:color w:val="000000"/>
          <w:lang w:eastAsia="en-US"/>
        </w:rPr>
        <w:t>Steierm</w:t>
      </w:r>
      <w:r w:rsidR="00AD71F5">
        <w:rPr>
          <w:color w:val="000000"/>
          <w:lang w:eastAsia="en-US"/>
        </w:rPr>
        <w:t>ä</w:t>
      </w:r>
      <w:r w:rsidRPr="00CA7B4C">
        <w:rPr>
          <w:color w:val="000000"/>
          <w:lang w:eastAsia="en-US"/>
        </w:rPr>
        <w:t>rkische</w:t>
      </w:r>
      <w:proofErr w:type="spellEnd"/>
      <w:r w:rsidRPr="00CA7B4C">
        <w:rPr>
          <w:color w:val="000000"/>
          <w:lang w:eastAsia="en-US"/>
        </w:rPr>
        <w:t xml:space="preserve"> banke, sukladno potrebi osiguranja dodatnog izvora financiranja za pokriće investicijskih aktivnosti. U ovom razdoblju evidentirano je  224.752.684</w:t>
      </w:r>
      <w:r w:rsidR="003B0D2A" w:rsidRPr="00CA7B4C">
        <w:rPr>
          <w:color w:val="000000"/>
          <w:lang w:eastAsia="en-US"/>
        </w:rPr>
        <w:t xml:space="preserve"> </w:t>
      </w:r>
      <w:r w:rsidRPr="00CA7B4C">
        <w:rPr>
          <w:color w:val="000000"/>
          <w:lang w:eastAsia="en-US"/>
        </w:rPr>
        <w:t xml:space="preserve">kn  izdataka za otplate glavnica po dugoročnim kreditima. Ministarstvu financija je izvršeno plaćanje za otplatu glavnica ukupno 122.675.580 kn i to; zajam IBRD za Projekt Unutarnje vode i Projekt Jadran II </w:t>
      </w:r>
      <w:r w:rsidRPr="00CA7B4C">
        <w:rPr>
          <w:lang w:eastAsia="en-US"/>
        </w:rPr>
        <w:t xml:space="preserve">faza </w:t>
      </w:r>
      <w:r w:rsidR="00D83F75" w:rsidRPr="00CA7B4C">
        <w:rPr>
          <w:lang w:eastAsia="en-US"/>
        </w:rPr>
        <w:t>42.046.124</w:t>
      </w:r>
      <w:r w:rsidR="00A634D8" w:rsidRPr="00CA7B4C">
        <w:rPr>
          <w:lang w:eastAsia="en-US"/>
        </w:rPr>
        <w:t xml:space="preserve"> </w:t>
      </w:r>
      <w:r w:rsidRPr="00CA7B4C">
        <w:rPr>
          <w:lang w:eastAsia="en-US"/>
        </w:rPr>
        <w:t xml:space="preserve">kn, za EIB i CEB (projekti </w:t>
      </w:r>
      <w:proofErr w:type="spellStart"/>
      <w:r w:rsidRPr="00CA7B4C">
        <w:rPr>
          <w:lang w:eastAsia="en-US"/>
        </w:rPr>
        <w:t>vodnokomunalne</w:t>
      </w:r>
      <w:proofErr w:type="spellEnd"/>
      <w:r w:rsidRPr="00CA7B4C">
        <w:rPr>
          <w:lang w:eastAsia="en-US"/>
        </w:rPr>
        <w:t xml:space="preserve"> infrastrukture) </w:t>
      </w:r>
      <w:r w:rsidR="00291C44" w:rsidRPr="00CA7B4C">
        <w:rPr>
          <w:lang w:eastAsia="en-US"/>
        </w:rPr>
        <w:t>66.8</w:t>
      </w:r>
      <w:r w:rsidR="00D83F75" w:rsidRPr="00CA7B4C">
        <w:rPr>
          <w:lang w:eastAsia="en-US"/>
        </w:rPr>
        <w:t>50.032</w:t>
      </w:r>
      <w:r w:rsidRPr="00CA7B4C">
        <w:rPr>
          <w:lang w:eastAsia="en-US"/>
        </w:rPr>
        <w:t xml:space="preserve"> kn i CEB – projekti obrane od poplave </w:t>
      </w:r>
      <w:r w:rsidR="00291C44" w:rsidRPr="00CA7B4C">
        <w:rPr>
          <w:lang w:eastAsia="en-US"/>
        </w:rPr>
        <w:t>13.779.424</w:t>
      </w:r>
      <w:r w:rsidR="00D83F75" w:rsidRPr="00CA7B4C">
        <w:rPr>
          <w:lang w:eastAsia="en-US"/>
        </w:rPr>
        <w:t xml:space="preserve"> kn.</w:t>
      </w:r>
      <w:r w:rsidR="003B0D2A" w:rsidRPr="00CA7B4C">
        <w:rPr>
          <w:lang w:eastAsia="en-US"/>
        </w:rPr>
        <w:t xml:space="preserve"> </w:t>
      </w:r>
      <w:r w:rsidRPr="00CA7B4C">
        <w:rPr>
          <w:lang w:eastAsia="en-US"/>
        </w:rPr>
        <w:t>HBOR-u je otplaćeno 11.999.985</w:t>
      </w:r>
      <w:r w:rsidR="00AD71F5">
        <w:rPr>
          <w:lang w:eastAsia="en-US"/>
        </w:rPr>
        <w:t xml:space="preserve"> kn glavnice, a Erste &amp; </w:t>
      </w:r>
      <w:proofErr w:type="spellStart"/>
      <w:r w:rsidR="00AD71F5">
        <w:rPr>
          <w:lang w:eastAsia="en-US"/>
        </w:rPr>
        <w:t>Steiermä</w:t>
      </w:r>
      <w:r w:rsidRPr="00CA7B4C">
        <w:rPr>
          <w:lang w:eastAsia="en-US"/>
        </w:rPr>
        <w:t>rkische</w:t>
      </w:r>
      <w:proofErr w:type="spellEnd"/>
      <w:r w:rsidRPr="00CA7B4C">
        <w:rPr>
          <w:lang w:eastAsia="en-US"/>
        </w:rPr>
        <w:t xml:space="preserve"> ba</w:t>
      </w:r>
      <w:r w:rsidR="00291C44" w:rsidRPr="00CA7B4C">
        <w:rPr>
          <w:lang w:eastAsia="en-US"/>
        </w:rPr>
        <w:t>n</w:t>
      </w:r>
      <w:r w:rsidRPr="00CA7B4C">
        <w:rPr>
          <w:lang w:eastAsia="en-US"/>
        </w:rPr>
        <w:t>ci je</w:t>
      </w:r>
      <w:r w:rsidR="003B0D2A" w:rsidRPr="00CA7B4C">
        <w:rPr>
          <w:lang w:eastAsia="en-US"/>
        </w:rPr>
        <w:t xml:space="preserve"> </w:t>
      </w:r>
      <w:r w:rsidRPr="00CA7B4C">
        <w:rPr>
          <w:lang w:eastAsia="en-US"/>
        </w:rPr>
        <w:t>otplaćeno 90.077.119 kn glavnice.</w:t>
      </w:r>
    </w:p>
    <w:p w14:paraId="1729BD59" w14:textId="77777777" w:rsidR="004E0993" w:rsidRPr="00CA7B4C" w:rsidRDefault="004E0993" w:rsidP="0066727E">
      <w:pPr>
        <w:jc w:val="both"/>
        <w:rPr>
          <w:color w:val="000000"/>
          <w:lang w:eastAsia="en-US"/>
        </w:rPr>
      </w:pPr>
      <w:r w:rsidRPr="00CA7B4C">
        <w:rPr>
          <w:color w:val="000000"/>
          <w:lang w:eastAsia="en-US"/>
        </w:rPr>
        <w:t>Ukupno je otplaćeno 12.517.312 kn kamata.</w:t>
      </w:r>
    </w:p>
    <w:p w14:paraId="3751AA7E" w14:textId="77777777" w:rsidR="006F07A5" w:rsidRDefault="006F07A5" w:rsidP="0066727E">
      <w:pPr>
        <w:jc w:val="both"/>
        <w:rPr>
          <w:bCs/>
          <w:color w:val="000000"/>
        </w:rPr>
      </w:pPr>
    </w:p>
    <w:p w14:paraId="53066F3A" w14:textId="77777777" w:rsidR="004E0993" w:rsidRPr="001672F5" w:rsidRDefault="004E0993" w:rsidP="0066727E">
      <w:pPr>
        <w:jc w:val="both"/>
        <w:rPr>
          <w:b/>
          <w:bCs/>
          <w:color w:val="000000"/>
        </w:rPr>
      </w:pPr>
      <w:r w:rsidRPr="001672F5">
        <w:rPr>
          <w:b/>
          <w:bCs/>
          <w:color w:val="000000"/>
        </w:rPr>
        <w:t>3. STANJE POTRAŽIVANJA</w:t>
      </w:r>
    </w:p>
    <w:p w14:paraId="38E5DA8A" w14:textId="77777777" w:rsidR="004E0993" w:rsidRPr="00CA7B4C" w:rsidRDefault="004E0993" w:rsidP="0066727E">
      <w:pPr>
        <w:jc w:val="both"/>
        <w:rPr>
          <w:bCs/>
          <w:color w:val="FF0000"/>
        </w:rPr>
      </w:pPr>
    </w:p>
    <w:p w14:paraId="64FDAB22" w14:textId="77777777" w:rsidR="000B7CCE" w:rsidRPr="000B7CCE" w:rsidRDefault="000B7CCE" w:rsidP="0066727E">
      <w:pPr>
        <w:jc w:val="both"/>
        <w:rPr>
          <w:lang w:eastAsia="en-US"/>
        </w:rPr>
      </w:pPr>
      <w:r w:rsidRPr="000B7CCE">
        <w:rPr>
          <w:lang w:eastAsia="en-US"/>
        </w:rPr>
        <w:t>Ukupna potraživanja za prihode poslovanja Hrvatskih voda na dan 30.06.202</w:t>
      </w:r>
      <w:r w:rsidRPr="00CA7B4C">
        <w:rPr>
          <w:lang w:eastAsia="en-US"/>
        </w:rPr>
        <w:t>1</w:t>
      </w:r>
      <w:r w:rsidRPr="000B7CCE">
        <w:rPr>
          <w:lang w:eastAsia="en-US"/>
        </w:rPr>
        <w:t>.</w:t>
      </w:r>
      <w:r w:rsidR="00F9292B" w:rsidRPr="00CA7B4C">
        <w:rPr>
          <w:lang w:eastAsia="en-US"/>
        </w:rPr>
        <w:t xml:space="preserve"> </w:t>
      </w:r>
      <w:r w:rsidRPr="000B7CCE">
        <w:rPr>
          <w:lang w:eastAsia="en-US"/>
        </w:rPr>
        <w:t xml:space="preserve">godine  iznose </w:t>
      </w:r>
      <w:r w:rsidR="00E35A1B" w:rsidRPr="00CA7B4C">
        <w:rPr>
          <w:lang w:eastAsia="en-US"/>
        </w:rPr>
        <w:t>475.337.384</w:t>
      </w:r>
      <w:r w:rsidRPr="000B7CCE">
        <w:rPr>
          <w:lang w:eastAsia="en-US"/>
        </w:rPr>
        <w:t xml:space="preserve"> kn, od čega dospjela potraživanja iznose </w:t>
      </w:r>
      <w:r w:rsidR="00634AC5" w:rsidRPr="00634AC5">
        <w:rPr>
          <w:lang w:eastAsia="en-US"/>
        </w:rPr>
        <w:t>281.216.670</w:t>
      </w:r>
      <w:r w:rsidRPr="000B7CCE">
        <w:rPr>
          <w:lang w:eastAsia="en-US"/>
        </w:rPr>
        <w:t xml:space="preserve"> kn, a nedospjela  </w:t>
      </w:r>
      <w:r w:rsidR="00634AC5" w:rsidRPr="00634AC5">
        <w:rPr>
          <w:lang w:eastAsia="en-US"/>
        </w:rPr>
        <w:t>194.120.714</w:t>
      </w:r>
      <w:r w:rsidRPr="000B7CCE">
        <w:rPr>
          <w:lang w:eastAsia="en-US"/>
        </w:rPr>
        <w:t xml:space="preserve"> kn. Ukupna potraživanja u iznosu od </w:t>
      </w:r>
      <w:r w:rsidR="00E35A1B" w:rsidRPr="00CA7B4C">
        <w:rPr>
          <w:lang w:eastAsia="en-US"/>
        </w:rPr>
        <w:t>475.337.384</w:t>
      </w:r>
      <w:r w:rsidRPr="000B7CCE">
        <w:rPr>
          <w:lang w:eastAsia="en-US"/>
        </w:rPr>
        <w:t xml:space="preserve"> kn sastoje se od potraživanja za otplatu IBRD Zajma – Jadran II od javnih isporučitelja vodnih usluga u iznosu od 58.292.333 kn, potraživanja za prihode od imovine </w:t>
      </w:r>
      <w:r w:rsidR="00E35A1B" w:rsidRPr="00CA7B4C">
        <w:rPr>
          <w:lang w:eastAsia="en-US"/>
        </w:rPr>
        <w:t>8.308.35</w:t>
      </w:r>
      <w:r w:rsidR="004049D7" w:rsidRPr="00CA7B4C">
        <w:rPr>
          <w:lang w:eastAsia="en-US"/>
        </w:rPr>
        <w:t>8</w:t>
      </w:r>
      <w:r w:rsidRPr="000B7CCE">
        <w:rPr>
          <w:lang w:eastAsia="en-US"/>
        </w:rPr>
        <w:t xml:space="preserve"> kn, potraživanja od vodnih naknada (koje sukladno Zakonu o financiranju vodnoga gospodarstva obračunavaju i naplaćuju Hrvatske vode izravno i putem pravnih osoba koje obavljaju vodoopskrbnu djelatnost i jedinica lokalne samouprave koje obavljaju poslove naplate komunalne naknade i uz to naplaćuju naknadu za uređenje voda) u ukupnom iznosu </w:t>
      </w:r>
      <w:r w:rsidR="00E35A1B" w:rsidRPr="00CA7B4C">
        <w:rPr>
          <w:lang w:eastAsia="en-US"/>
        </w:rPr>
        <w:t>405.090.256</w:t>
      </w:r>
      <w:r w:rsidRPr="000B7CCE">
        <w:rPr>
          <w:lang w:eastAsia="en-US"/>
        </w:rPr>
        <w:t xml:space="preserve"> kn, i ostalih potraživanja </w:t>
      </w:r>
      <w:r w:rsidR="00EF0564" w:rsidRPr="00CA7B4C">
        <w:rPr>
          <w:lang w:eastAsia="en-US"/>
        </w:rPr>
        <w:t>3.646.43</w:t>
      </w:r>
      <w:r w:rsidR="004049D7" w:rsidRPr="00CA7B4C">
        <w:rPr>
          <w:lang w:eastAsia="en-US"/>
        </w:rPr>
        <w:t>7</w:t>
      </w:r>
      <w:r w:rsidRPr="000B7CCE">
        <w:rPr>
          <w:lang w:eastAsia="en-US"/>
        </w:rPr>
        <w:t xml:space="preserve"> kn.</w:t>
      </w:r>
    </w:p>
    <w:p w14:paraId="729B30BC" w14:textId="77777777" w:rsidR="000B7CCE" w:rsidRPr="000B7CCE" w:rsidRDefault="000B7CCE" w:rsidP="0066727E">
      <w:pPr>
        <w:jc w:val="both"/>
        <w:rPr>
          <w:lang w:eastAsia="en-US"/>
        </w:rPr>
      </w:pPr>
      <w:r w:rsidRPr="000B7CCE">
        <w:rPr>
          <w:lang w:eastAsia="en-US"/>
        </w:rPr>
        <w:t xml:space="preserve">Dospjela potraživanja u iznosu od </w:t>
      </w:r>
      <w:r w:rsidR="00955CFC" w:rsidRPr="00955CFC">
        <w:rPr>
          <w:lang w:eastAsia="en-US"/>
        </w:rPr>
        <w:t xml:space="preserve">281.216.670 </w:t>
      </w:r>
      <w:r w:rsidRPr="000B7CCE">
        <w:rPr>
          <w:lang w:eastAsia="en-US"/>
        </w:rPr>
        <w:t>kn odnose se na potraživanja od vodnih naknada. Za</w:t>
      </w:r>
      <w:r w:rsidR="00955CFC" w:rsidRPr="00EA2BBE">
        <w:rPr>
          <w:lang w:eastAsia="en-US"/>
        </w:rPr>
        <w:t xml:space="preserve"> 31</w:t>
      </w:r>
      <w:r w:rsidRPr="000B7CCE">
        <w:rPr>
          <w:lang w:eastAsia="en-US"/>
        </w:rPr>
        <w:t>% dospjelih potraživanja pokrenute su mjere napla</w:t>
      </w:r>
      <w:r w:rsidR="00955CFC" w:rsidRPr="00EA2BBE">
        <w:rPr>
          <w:lang w:eastAsia="en-US"/>
        </w:rPr>
        <w:t>te (opomene i ovrhe) dok je 40</w:t>
      </w:r>
      <w:r w:rsidRPr="000B7CCE">
        <w:rPr>
          <w:lang w:eastAsia="en-US"/>
        </w:rPr>
        <w:t xml:space="preserve">% dospjelih potraživanja u postupku stečaja odnosno </w:t>
      </w:r>
      <w:proofErr w:type="spellStart"/>
      <w:r w:rsidRPr="000B7CCE">
        <w:rPr>
          <w:lang w:eastAsia="en-US"/>
        </w:rPr>
        <w:t>predstečaja</w:t>
      </w:r>
      <w:proofErr w:type="spellEnd"/>
      <w:r w:rsidRPr="000B7CCE">
        <w:rPr>
          <w:lang w:eastAsia="en-US"/>
        </w:rPr>
        <w:t>.</w:t>
      </w:r>
    </w:p>
    <w:p w14:paraId="1C889ECC" w14:textId="77777777" w:rsidR="004E0993" w:rsidRPr="001672F5" w:rsidRDefault="004E0993" w:rsidP="0066727E">
      <w:pPr>
        <w:jc w:val="both"/>
        <w:rPr>
          <w:b/>
          <w:lang w:eastAsia="en-US"/>
        </w:rPr>
      </w:pPr>
      <w:r w:rsidRPr="001672F5">
        <w:rPr>
          <w:b/>
          <w:bCs/>
        </w:rPr>
        <w:lastRenderedPageBreak/>
        <w:t xml:space="preserve">4. STANJE OBVEZA </w:t>
      </w:r>
    </w:p>
    <w:p w14:paraId="4040A717" w14:textId="77777777" w:rsidR="004E0993" w:rsidRPr="00F3700F" w:rsidRDefault="004E0993" w:rsidP="0066727E">
      <w:pPr>
        <w:jc w:val="both"/>
        <w:rPr>
          <w:bCs/>
          <w:color w:val="FF0000"/>
        </w:rPr>
      </w:pPr>
    </w:p>
    <w:p w14:paraId="0B56F2ED" w14:textId="77777777" w:rsidR="004E0993" w:rsidRPr="00091489" w:rsidRDefault="004E0993" w:rsidP="0066727E">
      <w:pPr>
        <w:jc w:val="both"/>
        <w:rPr>
          <w:lang w:eastAsia="en-US"/>
        </w:rPr>
      </w:pPr>
      <w:r w:rsidRPr="00091489">
        <w:rPr>
          <w:lang w:eastAsia="en-US"/>
        </w:rPr>
        <w:t>Stanje duga /kreditne obveze na dan 30.06.</w:t>
      </w:r>
      <w:r w:rsidR="00091489" w:rsidRPr="00091489">
        <w:rPr>
          <w:lang w:eastAsia="en-US"/>
        </w:rPr>
        <w:t>2021</w:t>
      </w:r>
      <w:r w:rsidRPr="00091489">
        <w:rPr>
          <w:lang w:eastAsia="en-US"/>
        </w:rPr>
        <w:t>. godine iznose 1.872.416.008 kn i u odnosu na isto razdoblje prošle godine veće su za 9,6% kada su iznosile 1</w:t>
      </w:r>
      <w:r w:rsidR="00091489" w:rsidRPr="00091489">
        <w:rPr>
          <w:lang w:eastAsia="en-US"/>
        </w:rPr>
        <w:t>.</w:t>
      </w:r>
      <w:r w:rsidRPr="00091489">
        <w:rPr>
          <w:lang w:eastAsia="en-US"/>
        </w:rPr>
        <w:t xml:space="preserve">709.241.896 kn. Zaduživanje se provodi uz suglasnost Vlade RH, isključivo i jedino u svrhu financiranja investicijskih aktivnosti, pretežito programa vodoopskrbe, odvodnje otpadnih voda i obrane od poplava, solidarno  za projekte na cijelom teritoriju Republike Hrvatske. </w:t>
      </w:r>
    </w:p>
    <w:p w14:paraId="4C3CF95D" w14:textId="77777777" w:rsidR="004E0993" w:rsidRPr="00091489" w:rsidRDefault="004E0993" w:rsidP="0066727E">
      <w:pPr>
        <w:jc w:val="both"/>
        <w:rPr>
          <w:lang w:eastAsia="en-US"/>
        </w:rPr>
      </w:pPr>
      <w:r w:rsidRPr="00091489">
        <w:rPr>
          <w:lang w:eastAsia="en-US"/>
        </w:rPr>
        <w:t>Najznačajniji kreditori su Svjetska banka</w:t>
      </w:r>
      <w:r w:rsidR="00AD71F5">
        <w:rPr>
          <w:lang w:eastAsia="en-US"/>
        </w:rPr>
        <w:t xml:space="preserve">, HBOR, EIB/CEB i </w:t>
      </w:r>
      <w:proofErr w:type="spellStart"/>
      <w:r w:rsidR="00AD71F5">
        <w:rPr>
          <w:lang w:eastAsia="en-US"/>
        </w:rPr>
        <w:t>Erste&amp;Steiermä</w:t>
      </w:r>
      <w:r w:rsidRPr="00091489">
        <w:rPr>
          <w:lang w:eastAsia="en-US"/>
        </w:rPr>
        <w:t>rkische</w:t>
      </w:r>
      <w:proofErr w:type="spellEnd"/>
      <w:r w:rsidRPr="00091489">
        <w:rPr>
          <w:lang w:eastAsia="en-US"/>
        </w:rPr>
        <w:t xml:space="preserve"> banka. Krediti su dugoročni, s rokovima otplate od 6 do 15 godina, sa prosječnim troškom financiranja od 1,61%.</w:t>
      </w:r>
    </w:p>
    <w:p w14:paraId="1539487D" w14:textId="77777777" w:rsidR="004E0993" w:rsidRPr="00091489" w:rsidRDefault="004E0993" w:rsidP="0066727E">
      <w:pPr>
        <w:jc w:val="both"/>
        <w:rPr>
          <w:lang w:eastAsia="en-US"/>
        </w:rPr>
      </w:pPr>
      <w:r w:rsidRPr="00091489">
        <w:rPr>
          <w:lang w:eastAsia="en-US"/>
        </w:rPr>
        <w:t xml:space="preserve">Ukupne obveze na dan 30.06.2021. godine iznose 2.099.030.401 kn te su veće za 5,2% u odnosu na 30.06.2020. godine kada su iznosile 1.996.590.005 kn. Obveze prema kreditnim institucijama u 2021. godini čine udio od 89,2%. Nema dospjelih kreditnih obveza, sve se izmiruju u rokovima dospijeća. Ostale </w:t>
      </w:r>
      <w:proofErr w:type="spellStart"/>
      <w:r w:rsidRPr="00091489">
        <w:rPr>
          <w:lang w:eastAsia="en-US"/>
        </w:rPr>
        <w:t>nekreditne</w:t>
      </w:r>
      <w:proofErr w:type="spellEnd"/>
      <w:r w:rsidRPr="00091489">
        <w:rPr>
          <w:lang w:eastAsia="en-US"/>
        </w:rPr>
        <w:t xml:space="preserve"> obveze su nedospjele i iznose 226.614.393 kn, dok su 2020. godine iznosile 287.348.109 kn, manje su za 21,2 % i pretežito se odnose na obveze prema dobavljačima za fakturirane poslove zaključno sa 30.06. a koje se podmiruju tijekom srpnja, unutar ugovornog roka do 30 dana.</w:t>
      </w:r>
    </w:p>
    <w:p w14:paraId="519EA0A0" w14:textId="77777777" w:rsidR="004E0993" w:rsidRPr="00091489" w:rsidRDefault="004E0993" w:rsidP="0066727E">
      <w:pPr>
        <w:spacing w:after="120"/>
        <w:jc w:val="both"/>
        <w:rPr>
          <w:bCs/>
        </w:rPr>
      </w:pPr>
    </w:p>
    <w:p w14:paraId="4D850353" w14:textId="77777777" w:rsidR="004E0993" w:rsidRPr="001672F5" w:rsidRDefault="004E0993" w:rsidP="0066727E">
      <w:pPr>
        <w:spacing w:after="120"/>
        <w:jc w:val="both"/>
        <w:rPr>
          <w:b/>
          <w:bCs/>
        </w:rPr>
      </w:pPr>
      <w:r w:rsidRPr="001672F5">
        <w:rPr>
          <w:b/>
          <w:bCs/>
        </w:rPr>
        <w:t xml:space="preserve">5. STANJE POTENCIJALNIH OBVEZA PO OSNOVI SUDSKIH POSTUPAKA </w:t>
      </w:r>
    </w:p>
    <w:p w14:paraId="02014066" w14:textId="30F7D021" w:rsidR="004E0993" w:rsidRDefault="004E0993" w:rsidP="0066727E">
      <w:pPr>
        <w:jc w:val="both"/>
        <w:rPr>
          <w:lang w:eastAsia="en-US"/>
        </w:rPr>
      </w:pPr>
      <w:r w:rsidRPr="00091489">
        <w:rPr>
          <w:lang w:eastAsia="en-US"/>
        </w:rPr>
        <w:t xml:space="preserve">U Hrvatskim vodama se kontinuirano u sklopu Izvještaja o godišnjem popisu imovine i obveza evidentiraju potencijalne obveze po osnovi sudskih postupaka, koji uz ispunjenje određenih uvjeta mogu postati obveza ili imovina. Isto je evidentirano u okviru </w:t>
      </w:r>
      <w:proofErr w:type="spellStart"/>
      <w:r w:rsidRPr="00091489">
        <w:rPr>
          <w:lang w:eastAsia="en-US"/>
        </w:rPr>
        <w:t>izvanbilančnih</w:t>
      </w:r>
      <w:proofErr w:type="spellEnd"/>
      <w:r w:rsidRPr="00091489">
        <w:rPr>
          <w:lang w:eastAsia="en-US"/>
        </w:rPr>
        <w:t xml:space="preserve"> zapisa. Stanje sporova na sudu koji su u tijeku na dan 30.06.202</w:t>
      </w:r>
      <w:r w:rsidR="00091489" w:rsidRPr="00091489">
        <w:rPr>
          <w:lang w:eastAsia="en-US"/>
        </w:rPr>
        <w:t>1</w:t>
      </w:r>
      <w:r w:rsidRPr="00091489">
        <w:rPr>
          <w:lang w:eastAsia="en-US"/>
        </w:rPr>
        <w:t>. godine je sljedeće:</w:t>
      </w:r>
    </w:p>
    <w:p w14:paraId="2DF83E4F" w14:textId="77777777" w:rsidR="00D81885" w:rsidRPr="00091489" w:rsidRDefault="00D81885" w:rsidP="0066727E">
      <w:pPr>
        <w:jc w:val="both"/>
        <w:rPr>
          <w:lang w:eastAsia="en-US"/>
        </w:rPr>
      </w:pPr>
    </w:p>
    <w:tbl>
      <w:tblPr>
        <w:tblW w:w="93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7"/>
        <w:gridCol w:w="992"/>
        <w:gridCol w:w="1276"/>
        <w:gridCol w:w="708"/>
        <w:gridCol w:w="1134"/>
        <w:gridCol w:w="567"/>
        <w:gridCol w:w="1276"/>
        <w:gridCol w:w="709"/>
        <w:gridCol w:w="1237"/>
      </w:tblGrid>
      <w:tr w:rsidR="00091489" w:rsidRPr="0066727E" w14:paraId="1B1428C0" w14:textId="77777777" w:rsidTr="0066727E">
        <w:trPr>
          <w:trHeight w:val="954"/>
        </w:trPr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DD6EE"/>
            <w:vAlign w:val="center"/>
            <w:hideMark/>
          </w:tcPr>
          <w:p w14:paraId="593469FE" w14:textId="77777777" w:rsidR="00091489" w:rsidRPr="0066727E" w:rsidRDefault="00091489" w:rsidP="0066727E">
            <w:pPr>
              <w:jc w:val="center"/>
              <w:rPr>
                <w:b/>
                <w:bCs/>
                <w:sz w:val="20"/>
                <w:szCs w:val="20"/>
              </w:rPr>
            </w:pPr>
            <w:r w:rsidRPr="0066727E">
              <w:rPr>
                <w:b/>
                <w:bCs/>
                <w:sz w:val="20"/>
                <w:szCs w:val="20"/>
              </w:rPr>
              <w:t>TUŽENI HRVATSKE VODE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center"/>
            <w:hideMark/>
          </w:tcPr>
          <w:p w14:paraId="4AD312CC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ukupan broj predmeta u sporu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DD6EE"/>
            <w:vAlign w:val="center"/>
            <w:hideMark/>
          </w:tcPr>
          <w:p w14:paraId="1E8500D1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Ukupan iznos glavnice u sporu /kn/</w:t>
            </w:r>
          </w:p>
          <w:p w14:paraId="6F7D0A32" w14:textId="77777777" w:rsidR="00091489" w:rsidRPr="0066727E" w:rsidRDefault="00091489" w:rsidP="0066727E">
            <w:pPr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center"/>
            <w:hideMark/>
          </w:tcPr>
          <w:p w14:paraId="2AFD09D1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 </w:t>
            </w:r>
          </w:p>
          <w:p w14:paraId="486E4EE6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Predviđanje ishoda spora /kn/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center"/>
            <w:hideMark/>
          </w:tcPr>
          <w:p w14:paraId="4AD59B54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 </w:t>
            </w:r>
          </w:p>
          <w:p w14:paraId="7FB4D42E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Predviđanje ishoda spora /kn/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center"/>
            <w:hideMark/>
          </w:tcPr>
          <w:p w14:paraId="573CF3C7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 </w:t>
            </w:r>
          </w:p>
          <w:p w14:paraId="5860F7ED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Predviđanje ishoda spora /kn/</w:t>
            </w:r>
          </w:p>
        </w:tc>
      </w:tr>
      <w:tr w:rsidR="00091489" w:rsidRPr="0066727E" w14:paraId="395FB192" w14:textId="77777777" w:rsidTr="0066727E">
        <w:trPr>
          <w:trHeight w:val="28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14:paraId="6F6C0592" w14:textId="77777777" w:rsidR="00091489" w:rsidRPr="0066727E" w:rsidRDefault="00091489" w:rsidP="0066727E">
            <w:pPr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noWrap/>
            <w:vAlign w:val="center"/>
            <w:hideMark/>
          </w:tcPr>
          <w:p w14:paraId="1E1E983E" w14:textId="77777777" w:rsidR="00091489" w:rsidRPr="0066727E" w:rsidRDefault="00091489" w:rsidP="0066727E">
            <w:pPr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14:paraId="16C35313" w14:textId="77777777" w:rsidR="00091489" w:rsidRPr="0066727E" w:rsidRDefault="00091489" w:rsidP="0066727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5E56BD7E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 </w:t>
            </w:r>
          </w:p>
          <w:p w14:paraId="40B07074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neizvjesno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4BD6D846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 </w:t>
            </w:r>
          </w:p>
          <w:p w14:paraId="0C33CFDF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na štetu HV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3ABA5AB4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 </w:t>
            </w:r>
          </w:p>
          <w:p w14:paraId="1A368A2D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u korist HV</w:t>
            </w:r>
          </w:p>
        </w:tc>
      </w:tr>
      <w:tr w:rsidR="00091489" w:rsidRPr="0066727E" w14:paraId="012C9B30" w14:textId="77777777" w:rsidTr="0066727E">
        <w:trPr>
          <w:trHeight w:val="567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03FC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UKUPNO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9B22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5737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151.940.811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E073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8533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72.769.743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E52C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9557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34.836.176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E19A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B73A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</w:p>
          <w:p w14:paraId="09A9DD3A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44.334.892</w:t>
            </w:r>
          </w:p>
          <w:p w14:paraId="5498B38A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74A430D" w14:textId="77777777" w:rsidR="00091489" w:rsidRPr="0066727E" w:rsidRDefault="00091489" w:rsidP="0066727E">
      <w:pPr>
        <w:rPr>
          <w:rFonts w:eastAsia="Calibri"/>
          <w:sz w:val="20"/>
          <w:szCs w:val="20"/>
        </w:rPr>
      </w:pP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1457"/>
        <w:gridCol w:w="992"/>
        <w:gridCol w:w="1335"/>
        <w:gridCol w:w="649"/>
        <w:gridCol w:w="1134"/>
        <w:gridCol w:w="567"/>
        <w:gridCol w:w="1276"/>
        <w:gridCol w:w="709"/>
        <w:gridCol w:w="1276"/>
      </w:tblGrid>
      <w:tr w:rsidR="00091489" w:rsidRPr="0066727E" w14:paraId="51282188" w14:textId="77777777" w:rsidTr="0066727E">
        <w:trPr>
          <w:trHeight w:val="803"/>
        </w:trPr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DD6EE"/>
            <w:vAlign w:val="center"/>
            <w:hideMark/>
          </w:tcPr>
          <w:p w14:paraId="66FB0F8E" w14:textId="77777777" w:rsidR="00091489" w:rsidRPr="0066727E" w:rsidRDefault="00091489" w:rsidP="0066727E">
            <w:pPr>
              <w:jc w:val="center"/>
              <w:rPr>
                <w:b/>
                <w:bCs/>
                <w:sz w:val="20"/>
                <w:szCs w:val="20"/>
              </w:rPr>
            </w:pPr>
            <w:r w:rsidRPr="0066727E">
              <w:rPr>
                <w:b/>
                <w:bCs/>
                <w:sz w:val="20"/>
                <w:szCs w:val="20"/>
              </w:rPr>
              <w:t>TUŽITELJ HRVATSKE VODE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center"/>
            <w:hideMark/>
          </w:tcPr>
          <w:p w14:paraId="4890AB04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ukupan broj predmeta u sporu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DD6EE"/>
            <w:vAlign w:val="center"/>
            <w:hideMark/>
          </w:tcPr>
          <w:p w14:paraId="70FD9450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Ukupan iznos glavnice u sporu /kn/</w:t>
            </w:r>
          </w:p>
          <w:p w14:paraId="4B2FB56D" w14:textId="77777777" w:rsidR="00091489" w:rsidRPr="0066727E" w:rsidRDefault="00091489" w:rsidP="0066727E">
            <w:pPr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center"/>
            <w:hideMark/>
          </w:tcPr>
          <w:p w14:paraId="004FF3E3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 </w:t>
            </w:r>
          </w:p>
          <w:p w14:paraId="164C046A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Predviđanje ishoda spora /kn/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center"/>
            <w:hideMark/>
          </w:tcPr>
          <w:p w14:paraId="7D520BC8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 </w:t>
            </w:r>
          </w:p>
          <w:p w14:paraId="4F9AE57B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Predviđanje ishoda spora /kn/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center"/>
            <w:hideMark/>
          </w:tcPr>
          <w:p w14:paraId="04628C69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 </w:t>
            </w:r>
          </w:p>
          <w:p w14:paraId="53B13AC3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Predviđanje ishoda spora /kn/</w:t>
            </w:r>
          </w:p>
        </w:tc>
      </w:tr>
      <w:tr w:rsidR="00091489" w:rsidRPr="0066727E" w14:paraId="7BCEE5F1" w14:textId="77777777" w:rsidTr="0066727E">
        <w:trPr>
          <w:trHeight w:val="274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14:paraId="0B9B3E51" w14:textId="77777777" w:rsidR="00091489" w:rsidRPr="0066727E" w:rsidRDefault="00091489" w:rsidP="0066727E">
            <w:pPr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  <w:hideMark/>
          </w:tcPr>
          <w:p w14:paraId="5DB27015" w14:textId="77777777" w:rsidR="00091489" w:rsidRPr="0066727E" w:rsidRDefault="00091489" w:rsidP="0066727E">
            <w:pPr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14:paraId="2182BA7C" w14:textId="77777777" w:rsidR="00091489" w:rsidRPr="0066727E" w:rsidRDefault="00091489" w:rsidP="0066727E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2F38ED42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 </w:t>
            </w:r>
          </w:p>
          <w:p w14:paraId="35F2B805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neizvjesno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3B8A76C0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 </w:t>
            </w:r>
          </w:p>
          <w:p w14:paraId="49FA82E9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na štetu HV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2A7CF259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 </w:t>
            </w:r>
          </w:p>
          <w:p w14:paraId="166A01AC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u korist HV</w:t>
            </w:r>
          </w:p>
        </w:tc>
      </w:tr>
      <w:tr w:rsidR="00091489" w:rsidRPr="0066727E" w14:paraId="476F2C6E" w14:textId="77777777" w:rsidTr="0066727E">
        <w:trPr>
          <w:trHeight w:val="59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532C" w14:textId="77777777" w:rsidR="00091489" w:rsidRPr="0066727E" w:rsidRDefault="00091489" w:rsidP="0066727E">
            <w:pPr>
              <w:jc w:val="center"/>
              <w:rPr>
                <w:bCs/>
                <w:sz w:val="20"/>
                <w:szCs w:val="20"/>
              </w:rPr>
            </w:pPr>
            <w:r w:rsidRPr="0066727E">
              <w:rPr>
                <w:bCs/>
                <w:sz w:val="20"/>
                <w:szCs w:val="20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AC4F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06B4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4.848.930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3DD1D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8472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4.848.930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3B3E6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95804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28D02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73CC" w14:textId="77777777" w:rsidR="00091489" w:rsidRPr="0066727E" w:rsidRDefault="00091489" w:rsidP="0066727E">
            <w:pPr>
              <w:jc w:val="center"/>
              <w:rPr>
                <w:sz w:val="20"/>
                <w:szCs w:val="20"/>
              </w:rPr>
            </w:pPr>
            <w:r w:rsidRPr="0066727E">
              <w:rPr>
                <w:sz w:val="20"/>
                <w:szCs w:val="20"/>
              </w:rPr>
              <w:t>0</w:t>
            </w:r>
          </w:p>
        </w:tc>
      </w:tr>
    </w:tbl>
    <w:p w14:paraId="0F085134" w14:textId="77777777" w:rsidR="0057398F" w:rsidRPr="00F3700F" w:rsidRDefault="0057398F" w:rsidP="0066727E">
      <w:pPr>
        <w:jc w:val="both"/>
        <w:rPr>
          <w:color w:val="FF0000"/>
          <w:lang w:eastAsia="en-US"/>
        </w:rPr>
      </w:pPr>
    </w:p>
    <w:sectPr w:rsidR="0057398F" w:rsidRPr="00F3700F" w:rsidSect="008203C7">
      <w:footerReference w:type="default" r:id="rId8"/>
      <w:pgSz w:w="11906" w:h="16838"/>
      <w:pgMar w:top="1417" w:right="1417" w:bottom="1417" w:left="1417" w:header="709" w:footer="709" w:gutter="0"/>
      <w:pgNumType w:start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CE1F1" w14:textId="77777777" w:rsidR="00633312" w:rsidRDefault="00633312" w:rsidP="007E71D6">
      <w:r>
        <w:separator/>
      </w:r>
    </w:p>
  </w:endnote>
  <w:endnote w:type="continuationSeparator" w:id="0">
    <w:p w14:paraId="7F08798E" w14:textId="77777777" w:rsidR="00633312" w:rsidRDefault="00633312" w:rsidP="007E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022365"/>
      <w:docPartObj>
        <w:docPartGallery w:val="Page Numbers (Bottom of Page)"/>
        <w:docPartUnique/>
      </w:docPartObj>
    </w:sdtPr>
    <w:sdtEndPr/>
    <w:sdtContent>
      <w:p w14:paraId="6D460EA9" w14:textId="5CECFEF1" w:rsidR="00D81885" w:rsidRDefault="00D8188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3C7">
          <w:rPr>
            <w:noProof/>
          </w:rPr>
          <w:t>627</w:t>
        </w:r>
        <w:r>
          <w:fldChar w:fldCharType="end"/>
        </w:r>
      </w:p>
    </w:sdtContent>
  </w:sdt>
  <w:p w14:paraId="7441EE74" w14:textId="77777777" w:rsidR="007E71D6" w:rsidRDefault="007E71D6" w:rsidP="007E71D6">
    <w:pPr>
      <w:pStyle w:val="Podnoje"/>
      <w:tabs>
        <w:tab w:val="clear" w:pos="4536"/>
        <w:tab w:val="clear" w:pos="9072"/>
        <w:tab w:val="left" w:pos="40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E574E" w14:textId="77777777" w:rsidR="00633312" w:rsidRDefault="00633312" w:rsidP="007E71D6">
      <w:r>
        <w:separator/>
      </w:r>
    </w:p>
  </w:footnote>
  <w:footnote w:type="continuationSeparator" w:id="0">
    <w:p w14:paraId="2AABF7EB" w14:textId="77777777" w:rsidR="00633312" w:rsidRDefault="00633312" w:rsidP="007E7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7DE"/>
    <w:multiLevelType w:val="hybridMultilevel"/>
    <w:tmpl w:val="47D6741A"/>
    <w:lvl w:ilvl="0" w:tplc="F4B8F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0B7B"/>
    <w:multiLevelType w:val="hybridMultilevel"/>
    <w:tmpl w:val="1C7E6EA8"/>
    <w:lvl w:ilvl="0" w:tplc="24820E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D0164"/>
    <w:multiLevelType w:val="multilevel"/>
    <w:tmpl w:val="71E4A0A6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466268C0"/>
    <w:multiLevelType w:val="hybridMultilevel"/>
    <w:tmpl w:val="AC7811EC"/>
    <w:lvl w:ilvl="0" w:tplc="036A32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34643"/>
    <w:multiLevelType w:val="hybridMultilevel"/>
    <w:tmpl w:val="983E141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B80AC2"/>
    <w:multiLevelType w:val="hybridMultilevel"/>
    <w:tmpl w:val="748A2F2C"/>
    <w:lvl w:ilvl="0" w:tplc="2424E320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679C1F84"/>
    <w:multiLevelType w:val="hybridMultilevel"/>
    <w:tmpl w:val="778CCC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2C2238"/>
    <w:multiLevelType w:val="hybridMultilevel"/>
    <w:tmpl w:val="756C0986"/>
    <w:lvl w:ilvl="0" w:tplc="24820E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C2"/>
    <w:rsid w:val="00003D7E"/>
    <w:rsid w:val="00005AEA"/>
    <w:rsid w:val="00014B0E"/>
    <w:rsid w:val="0001711A"/>
    <w:rsid w:val="00020B64"/>
    <w:rsid w:val="00031714"/>
    <w:rsid w:val="0003449F"/>
    <w:rsid w:val="0003475F"/>
    <w:rsid w:val="00036DB3"/>
    <w:rsid w:val="000370AB"/>
    <w:rsid w:val="000372C1"/>
    <w:rsid w:val="00037B37"/>
    <w:rsid w:val="00041D6E"/>
    <w:rsid w:val="000434DA"/>
    <w:rsid w:val="0004354E"/>
    <w:rsid w:val="00045211"/>
    <w:rsid w:val="00045B6D"/>
    <w:rsid w:val="00047DAF"/>
    <w:rsid w:val="000512A7"/>
    <w:rsid w:val="00052495"/>
    <w:rsid w:val="000550EF"/>
    <w:rsid w:val="000575BD"/>
    <w:rsid w:val="00060121"/>
    <w:rsid w:val="000624E9"/>
    <w:rsid w:val="00063844"/>
    <w:rsid w:val="00063BEE"/>
    <w:rsid w:val="00066354"/>
    <w:rsid w:val="00070B73"/>
    <w:rsid w:val="00073DC2"/>
    <w:rsid w:val="0008054C"/>
    <w:rsid w:val="00090104"/>
    <w:rsid w:val="00091489"/>
    <w:rsid w:val="000A62E2"/>
    <w:rsid w:val="000A74EC"/>
    <w:rsid w:val="000B3D5C"/>
    <w:rsid w:val="000B4933"/>
    <w:rsid w:val="000B5146"/>
    <w:rsid w:val="000B57C9"/>
    <w:rsid w:val="000B7CCE"/>
    <w:rsid w:val="000C0BBA"/>
    <w:rsid w:val="000C2692"/>
    <w:rsid w:val="000C5D6E"/>
    <w:rsid w:val="000C7CBC"/>
    <w:rsid w:val="000D2227"/>
    <w:rsid w:val="000E5F95"/>
    <w:rsid w:val="000E6A45"/>
    <w:rsid w:val="000F16E5"/>
    <w:rsid w:val="000F45BA"/>
    <w:rsid w:val="000F5A1E"/>
    <w:rsid w:val="000F5D96"/>
    <w:rsid w:val="000F7FEE"/>
    <w:rsid w:val="00100467"/>
    <w:rsid w:val="00105E69"/>
    <w:rsid w:val="001063A9"/>
    <w:rsid w:val="00110EA1"/>
    <w:rsid w:val="00110EDB"/>
    <w:rsid w:val="00116196"/>
    <w:rsid w:val="00116560"/>
    <w:rsid w:val="00123075"/>
    <w:rsid w:val="00124244"/>
    <w:rsid w:val="001255BC"/>
    <w:rsid w:val="001264A0"/>
    <w:rsid w:val="00130045"/>
    <w:rsid w:val="001311F5"/>
    <w:rsid w:val="0014548F"/>
    <w:rsid w:val="00146FDC"/>
    <w:rsid w:val="001559D3"/>
    <w:rsid w:val="00155E55"/>
    <w:rsid w:val="00155E99"/>
    <w:rsid w:val="001672F5"/>
    <w:rsid w:val="00167E35"/>
    <w:rsid w:val="00170F8D"/>
    <w:rsid w:val="00171C92"/>
    <w:rsid w:val="00173D79"/>
    <w:rsid w:val="00174F59"/>
    <w:rsid w:val="001763C6"/>
    <w:rsid w:val="00180B3E"/>
    <w:rsid w:val="00180E0F"/>
    <w:rsid w:val="00180FAD"/>
    <w:rsid w:val="001829F2"/>
    <w:rsid w:val="00184785"/>
    <w:rsid w:val="00186EAB"/>
    <w:rsid w:val="00191D6E"/>
    <w:rsid w:val="001A0731"/>
    <w:rsid w:val="001A095E"/>
    <w:rsid w:val="001A0C14"/>
    <w:rsid w:val="001A2EE4"/>
    <w:rsid w:val="001B0716"/>
    <w:rsid w:val="001B3453"/>
    <w:rsid w:val="001B7937"/>
    <w:rsid w:val="001D281E"/>
    <w:rsid w:val="001D2F78"/>
    <w:rsid w:val="001D4950"/>
    <w:rsid w:val="001D4987"/>
    <w:rsid w:val="001E1E3A"/>
    <w:rsid w:val="001E2C08"/>
    <w:rsid w:val="001E391D"/>
    <w:rsid w:val="001E3BCA"/>
    <w:rsid w:val="001E3EBD"/>
    <w:rsid w:val="001E49B1"/>
    <w:rsid w:val="001E6C24"/>
    <w:rsid w:val="001E7C31"/>
    <w:rsid w:val="001F236B"/>
    <w:rsid w:val="001F4E02"/>
    <w:rsid w:val="001F6487"/>
    <w:rsid w:val="001F64C3"/>
    <w:rsid w:val="001F6E0D"/>
    <w:rsid w:val="001F7435"/>
    <w:rsid w:val="001F75A6"/>
    <w:rsid w:val="00203CDA"/>
    <w:rsid w:val="00205086"/>
    <w:rsid w:val="002051E2"/>
    <w:rsid w:val="00213A13"/>
    <w:rsid w:val="00221847"/>
    <w:rsid w:val="00227699"/>
    <w:rsid w:val="00230511"/>
    <w:rsid w:val="0023081D"/>
    <w:rsid w:val="00230C69"/>
    <w:rsid w:val="00235B68"/>
    <w:rsid w:val="002372CB"/>
    <w:rsid w:val="0024019E"/>
    <w:rsid w:val="00244E86"/>
    <w:rsid w:val="0025529F"/>
    <w:rsid w:val="0025582F"/>
    <w:rsid w:val="00265C2B"/>
    <w:rsid w:val="00265C37"/>
    <w:rsid w:val="0027251B"/>
    <w:rsid w:val="0028265F"/>
    <w:rsid w:val="00283725"/>
    <w:rsid w:val="00291C44"/>
    <w:rsid w:val="002A327E"/>
    <w:rsid w:val="002A400B"/>
    <w:rsid w:val="002A552E"/>
    <w:rsid w:val="002A586A"/>
    <w:rsid w:val="002B2140"/>
    <w:rsid w:val="002B3E52"/>
    <w:rsid w:val="002C1F80"/>
    <w:rsid w:val="002C45AD"/>
    <w:rsid w:val="002C478D"/>
    <w:rsid w:val="002C7642"/>
    <w:rsid w:val="002D277D"/>
    <w:rsid w:val="002D6A69"/>
    <w:rsid w:val="002E6983"/>
    <w:rsid w:val="002F003A"/>
    <w:rsid w:val="002F1DBE"/>
    <w:rsid w:val="002F558B"/>
    <w:rsid w:val="003021A5"/>
    <w:rsid w:val="00302717"/>
    <w:rsid w:val="003107D5"/>
    <w:rsid w:val="003111E2"/>
    <w:rsid w:val="00315FA5"/>
    <w:rsid w:val="0032742D"/>
    <w:rsid w:val="00331C35"/>
    <w:rsid w:val="00343DFA"/>
    <w:rsid w:val="00343E48"/>
    <w:rsid w:val="00344E2A"/>
    <w:rsid w:val="00351B8C"/>
    <w:rsid w:val="00365E2A"/>
    <w:rsid w:val="003668DB"/>
    <w:rsid w:val="00366919"/>
    <w:rsid w:val="0037375E"/>
    <w:rsid w:val="0037468B"/>
    <w:rsid w:val="00384870"/>
    <w:rsid w:val="00393986"/>
    <w:rsid w:val="003A3111"/>
    <w:rsid w:val="003A4E60"/>
    <w:rsid w:val="003A591F"/>
    <w:rsid w:val="003A798A"/>
    <w:rsid w:val="003B00D2"/>
    <w:rsid w:val="003B0D2A"/>
    <w:rsid w:val="003B29D7"/>
    <w:rsid w:val="003B73E2"/>
    <w:rsid w:val="003C09C0"/>
    <w:rsid w:val="003C0EF4"/>
    <w:rsid w:val="003C1B97"/>
    <w:rsid w:val="003C232F"/>
    <w:rsid w:val="003C7E0A"/>
    <w:rsid w:val="003D05ED"/>
    <w:rsid w:val="003D19CB"/>
    <w:rsid w:val="003D54B2"/>
    <w:rsid w:val="003E0A08"/>
    <w:rsid w:val="003E0F48"/>
    <w:rsid w:val="003E2C4B"/>
    <w:rsid w:val="003E3D60"/>
    <w:rsid w:val="003F28B0"/>
    <w:rsid w:val="003F42A9"/>
    <w:rsid w:val="003F478E"/>
    <w:rsid w:val="003F73B8"/>
    <w:rsid w:val="003F75FF"/>
    <w:rsid w:val="003F79E8"/>
    <w:rsid w:val="003F7A43"/>
    <w:rsid w:val="0040008C"/>
    <w:rsid w:val="004049D7"/>
    <w:rsid w:val="00406F92"/>
    <w:rsid w:val="0040723D"/>
    <w:rsid w:val="004214E3"/>
    <w:rsid w:val="00422559"/>
    <w:rsid w:val="00423B86"/>
    <w:rsid w:val="004322D0"/>
    <w:rsid w:val="00433651"/>
    <w:rsid w:val="00440AC0"/>
    <w:rsid w:val="004434AB"/>
    <w:rsid w:val="00446101"/>
    <w:rsid w:val="004529BD"/>
    <w:rsid w:val="00456113"/>
    <w:rsid w:val="004614C5"/>
    <w:rsid w:val="00465B52"/>
    <w:rsid w:val="00465C3F"/>
    <w:rsid w:val="00471C1E"/>
    <w:rsid w:val="00476DFE"/>
    <w:rsid w:val="004808DC"/>
    <w:rsid w:val="00482080"/>
    <w:rsid w:val="00482FA6"/>
    <w:rsid w:val="00485ABD"/>
    <w:rsid w:val="004867A4"/>
    <w:rsid w:val="00487CAA"/>
    <w:rsid w:val="00491993"/>
    <w:rsid w:val="0049508C"/>
    <w:rsid w:val="00495ACF"/>
    <w:rsid w:val="004A2289"/>
    <w:rsid w:val="004A5D6F"/>
    <w:rsid w:val="004A7458"/>
    <w:rsid w:val="004A77F7"/>
    <w:rsid w:val="004B23AA"/>
    <w:rsid w:val="004B3864"/>
    <w:rsid w:val="004B3AB8"/>
    <w:rsid w:val="004B6225"/>
    <w:rsid w:val="004B7F84"/>
    <w:rsid w:val="004C0F67"/>
    <w:rsid w:val="004C3452"/>
    <w:rsid w:val="004C43B3"/>
    <w:rsid w:val="004C7A6A"/>
    <w:rsid w:val="004D166B"/>
    <w:rsid w:val="004D40A5"/>
    <w:rsid w:val="004D7E19"/>
    <w:rsid w:val="004E0993"/>
    <w:rsid w:val="004E6B50"/>
    <w:rsid w:val="00500249"/>
    <w:rsid w:val="00500976"/>
    <w:rsid w:val="00501316"/>
    <w:rsid w:val="005015FB"/>
    <w:rsid w:val="005042F4"/>
    <w:rsid w:val="00504794"/>
    <w:rsid w:val="005135DF"/>
    <w:rsid w:val="00516B7E"/>
    <w:rsid w:val="0052315E"/>
    <w:rsid w:val="00523361"/>
    <w:rsid w:val="0052482B"/>
    <w:rsid w:val="0052572E"/>
    <w:rsid w:val="00527563"/>
    <w:rsid w:val="00532D60"/>
    <w:rsid w:val="00535577"/>
    <w:rsid w:val="005437CC"/>
    <w:rsid w:val="0054742D"/>
    <w:rsid w:val="00554FCE"/>
    <w:rsid w:val="0055518D"/>
    <w:rsid w:val="00562E35"/>
    <w:rsid w:val="00563AEA"/>
    <w:rsid w:val="0056402B"/>
    <w:rsid w:val="00567D80"/>
    <w:rsid w:val="005707AB"/>
    <w:rsid w:val="0057398F"/>
    <w:rsid w:val="00575549"/>
    <w:rsid w:val="005774EE"/>
    <w:rsid w:val="005808AF"/>
    <w:rsid w:val="00580C02"/>
    <w:rsid w:val="00585B9C"/>
    <w:rsid w:val="005878B4"/>
    <w:rsid w:val="00591C98"/>
    <w:rsid w:val="00593BDC"/>
    <w:rsid w:val="005A154A"/>
    <w:rsid w:val="005A24EC"/>
    <w:rsid w:val="005A33BF"/>
    <w:rsid w:val="005B2AEA"/>
    <w:rsid w:val="005B41B1"/>
    <w:rsid w:val="005D304D"/>
    <w:rsid w:val="005D32E4"/>
    <w:rsid w:val="005E1A05"/>
    <w:rsid w:val="005E410E"/>
    <w:rsid w:val="005E68FA"/>
    <w:rsid w:val="005E7892"/>
    <w:rsid w:val="005F3A39"/>
    <w:rsid w:val="005F3F48"/>
    <w:rsid w:val="00602446"/>
    <w:rsid w:val="00604484"/>
    <w:rsid w:val="00605AAA"/>
    <w:rsid w:val="00606DC5"/>
    <w:rsid w:val="00607B90"/>
    <w:rsid w:val="00611F3D"/>
    <w:rsid w:val="00614159"/>
    <w:rsid w:val="00614F5B"/>
    <w:rsid w:val="006166EC"/>
    <w:rsid w:val="00616AAC"/>
    <w:rsid w:val="0062039A"/>
    <w:rsid w:val="00621066"/>
    <w:rsid w:val="0062518D"/>
    <w:rsid w:val="00626BDB"/>
    <w:rsid w:val="00627385"/>
    <w:rsid w:val="00633312"/>
    <w:rsid w:val="006335EA"/>
    <w:rsid w:val="006349D7"/>
    <w:rsid w:val="00634AC5"/>
    <w:rsid w:val="00636E6B"/>
    <w:rsid w:val="00641444"/>
    <w:rsid w:val="00642E89"/>
    <w:rsid w:val="006439FD"/>
    <w:rsid w:val="006444A0"/>
    <w:rsid w:val="00650480"/>
    <w:rsid w:val="00651723"/>
    <w:rsid w:val="00661714"/>
    <w:rsid w:val="006671ED"/>
    <w:rsid w:val="0066727E"/>
    <w:rsid w:val="00670389"/>
    <w:rsid w:val="00671AB0"/>
    <w:rsid w:val="00673F2D"/>
    <w:rsid w:val="00686714"/>
    <w:rsid w:val="006949B4"/>
    <w:rsid w:val="006A06E8"/>
    <w:rsid w:val="006A1614"/>
    <w:rsid w:val="006A3008"/>
    <w:rsid w:val="006A3BE0"/>
    <w:rsid w:val="006B1206"/>
    <w:rsid w:val="006B3DB3"/>
    <w:rsid w:val="006B49C0"/>
    <w:rsid w:val="006B4A5F"/>
    <w:rsid w:val="006C2E41"/>
    <w:rsid w:val="006C413B"/>
    <w:rsid w:val="006C561E"/>
    <w:rsid w:val="006C7189"/>
    <w:rsid w:val="006D41B7"/>
    <w:rsid w:val="006E5F19"/>
    <w:rsid w:val="006E6118"/>
    <w:rsid w:val="006F07A5"/>
    <w:rsid w:val="006F2A35"/>
    <w:rsid w:val="006F2B08"/>
    <w:rsid w:val="006F30A0"/>
    <w:rsid w:val="006F3293"/>
    <w:rsid w:val="006F5A70"/>
    <w:rsid w:val="006F77BC"/>
    <w:rsid w:val="00700385"/>
    <w:rsid w:val="00703014"/>
    <w:rsid w:val="00703998"/>
    <w:rsid w:val="0070493A"/>
    <w:rsid w:val="00707389"/>
    <w:rsid w:val="00714675"/>
    <w:rsid w:val="0072009C"/>
    <w:rsid w:val="00725697"/>
    <w:rsid w:val="00726A41"/>
    <w:rsid w:val="0073239F"/>
    <w:rsid w:val="00736D2C"/>
    <w:rsid w:val="00743A3A"/>
    <w:rsid w:val="00744808"/>
    <w:rsid w:val="00744DA1"/>
    <w:rsid w:val="007453D7"/>
    <w:rsid w:val="007649AA"/>
    <w:rsid w:val="00777E63"/>
    <w:rsid w:val="0078032E"/>
    <w:rsid w:val="00780E76"/>
    <w:rsid w:val="00781E00"/>
    <w:rsid w:val="00783C1F"/>
    <w:rsid w:val="007909E0"/>
    <w:rsid w:val="00794DF5"/>
    <w:rsid w:val="007A2A58"/>
    <w:rsid w:val="007A4DD6"/>
    <w:rsid w:val="007B636C"/>
    <w:rsid w:val="007C10F9"/>
    <w:rsid w:val="007C2B82"/>
    <w:rsid w:val="007C369A"/>
    <w:rsid w:val="007C4A6B"/>
    <w:rsid w:val="007C5491"/>
    <w:rsid w:val="007C6986"/>
    <w:rsid w:val="007D00A6"/>
    <w:rsid w:val="007D0796"/>
    <w:rsid w:val="007D3984"/>
    <w:rsid w:val="007E1764"/>
    <w:rsid w:val="007E3514"/>
    <w:rsid w:val="007E58C4"/>
    <w:rsid w:val="007E71D6"/>
    <w:rsid w:val="007F4124"/>
    <w:rsid w:val="007F4933"/>
    <w:rsid w:val="007F7C57"/>
    <w:rsid w:val="007F7E27"/>
    <w:rsid w:val="0080237C"/>
    <w:rsid w:val="008029B6"/>
    <w:rsid w:val="00806590"/>
    <w:rsid w:val="008100DC"/>
    <w:rsid w:val="008106CA"/>
    <w:rsid w:val="00811B67"/>
    <w:rsid w:val="008153CC"/>
    <w:rsid w:val="00815C59"/>
    <w:rsid w:val="008203C7"/>
    <w:rsid w:val="00822526"/>
    <w:rsid w:val="0082394F"/>
    <w:rsid w:val="00826F23"/>
    <w:rsid w:val="008304F3"/>
    <w:rsid w:val="008328BF"/>
    <w:rsid w:val="008347C6"/>
    <w:rsid w:val="0083512C"/>
    <w:rsid w:val="0083596F"/>
    <w:rsid w:val="008458B4"/>
    <w:rsid w:val="0084739E"/>
    <w:rsid w:val="0085363C"/>
    <w:rsid w:val="00853844"/>
    <w:rsid w:val="00857CE0"/>
    <w:rsid w:val="00860329"/>
    <w:rsid w:val="0086393E"/>
    <w:rsid w:val="00864B4B"/>
    <w:rsid w:val="0086659B"/>
    <w:rsid w:val="00870020"/>
    <w:rsid w:val="008728EB"/>
    <w:rsid w:val="00875E0A"/>
    <w:rsid w:val="00875E10"/>
    <w:rsid w:val="00876040"/>
    <w:rsid w:val="008775E7"/>
    <w:rsid w:val="008856C1"/>
    <w:rsid w:val="00887FB4"/>
    <w:rsid w:val="00896AB7"/>
    <w:rsid w:val="008A0C68"/>
    <w:rsid w:val="008A1C5A"/>
    <w:rsid w:val="008A2DB7"/>
    <w:rsid w:val="008A3F62"/>
    <w:rsid w:val="008A4379"/>
    <w:rsid w:val="008A599A"/>
    <w:rsid w:val="008A59AF"/>
    <w:rsid w:val="008A64D5"/>
    <w:rsid w:val="008A7C8B"/>
    <w:rsid w:val="008C40AA"/>
    <w:rsid w:val="008C604C"/>
    <w:rsid w:val="008D42E0"/>
    <w:rsid w:val="008D63D6"/>
    <w:rsid w:val="008E6D6C"/>
    <w:rsid w:val="008E6F1E"/>
    <w:rsid w:val="008F28EC"/>
    <w:rsid w:val="008F2C77"/>
    <w:rsid w:val="008F3E4C"/>
    <w:rsid w:val="008F429D"/>
    <w:rsid w:val="009012FF"/>
    <w:rsid w:val="009016D6"/>
    <w:rsid w:val="00904B91"/>
    <w:rsid w:val="009078DF"/>
    <w:rsid w:val="00912C7B"/>
    <w:rsid w:val="00912DDA"/>
    <w:rsid w:val="009153A2"/>
    <w:rsid w:val="00916D76"/>
    <w:rsid w:val="00923192"/>
    <w:rsid w:val="00934589"/>
    <w:rsid w:val="009360F3"/>
    <w:rsid w:val="00943298"/>
    <w:rsid w:val="00943C09"/>
    <w:rsid w:val="00945252"/>
    <w:rsid w:val="00945840"/>
    <w:rsid w:val="00947338"/>
    <w:rsid w:val="00953174"/>
    <w:rsid w:val="009555AD"/>
    <w:rsid w:val="009555B6"/>
    <w:rsid w:val="00955CFC"/>
    <w:rsid w:val="0095714B"/>
    <w:rsid w:val="009604C2"/>
    <w:rsid w:val="00960851"/>
    <w:rsid w:val="0096166E"/>
    <w:rsid w:val="00962071"/>
    <w:rsid w:val="0096301B"/>
    <w:rsid w:val="009715A3"/>
    <w:rsid w:val="00972864"/>
    <w:rsid w:val="00972964"/>
    <w:rsid w:val="00973482"/>
    <w:rsid w:val="009801EC"/>
    <w:rsid w:val="009803AA"/>
    <w:rsid w:val="00980B37"/>
    <w:rsid w:val="00982629"/>
    <w:rsid w:val="00982EDD"/>
    <w:rsid w:val="00983FB1"/>
    <w:rsid w:val="00985168"/>
    <w:rsid w:val="0099219F"/>
    <w:rsid w:val="009A1250"/>
    <w:rsid w:val="009A12F5"/>
    <w:rsid w:val="009A6484"/>
    <w:rsid w:val="009A66DA"/>
    <w:rsid w:val="009A79AA"/>
    <w:rsid w:val="009A7C41"/>
    <w:rsid w:val="009B3124"/>
    <w:rsid w:val="009B4A9B"/>
    <w:rsid w:val="009B6702"/>
    <w:rsid w:val="009C47C6"/>
    <w:rsid w:val="009C4EF0"/>
    <w:rsid w:val="009C6479"/>
    <w:rsid w:val="009D0194"/>
    <w:rsid w:val="009D3C03"/>
    <w:rsid w:val="009D46A8"/>
    <w:rsid w:val="009D713C"/>
    <w:rsid w:val="009D7A53"/>
    <w:rsid w:val="009E29F7"/>
    <w:rsid w:val="009E2B91"/>
    <w:rsid w:val="009E394D"/>
    <w:rsid w:val="009E42F6"/>
    <w:rsid w:val="009E66FD"/>
    <w:rsid w:val="009F25D4"/>
    <w:rsid w:val="009F42D3"/>
    <w:rsid w:val="009F45F2"/>
    <w:rsid w:val="009F5DA2"/>
    <w:rsid w:val="009F7850"/>
    <w:rsid w:val="00A046FF"/>
    <w:rsid w:val="00A061F0"/>
    <w:rsid w:val="00A13B5D"/>
    <w:rsid w:val="00A15EA6"/>
    <w:rsid w:val="00A16267"/>
    <w:rsid w:val="00A1626F"/>
    <w:rsid w:val="00A163EF"/>
    <w:rsid w:val="00A16FC7"/>
    <w:rsid w:val="00A1724F"/>
    <w:rsid w:val="00A2623A"/>
    <w:rsid w:val="00A30874"/>
    <w:rsid w:val="00A30CC8"/>
    <w:rsid w:val="00A31DD0"/>
    <w:rsid w:val="00A33730"/>
    <w:rsid w:val="00A33ADB"/>
    <w:rsid w:val="00A40675"/>
    <w:rsid w:val="00A42E79"/>
    <w:rsid w:val="00A43061"/>
    <w:rsid w:val="00A4354F"/>
    <w:rsid w:val="00A440DD"/>
    <w:rsid w:val="00A47EB6"/>
    <w:rsid w:val="00A51445"/>
    <w:rsid w:val="00A51A51"/>
    <w:rsid w:val="00A611D9"/>
    <w:rsid w:val="00A61376"/>
    <w:rsid w:val="00A627B1"/>
    <w:rsid w:val="00A63049"/>
    <w:rsid w:val="00A634D8"/>
    <w:rsid w:val="00A6651D"/>
    <w:rsid w:val="00A66A0B"/>
    <w:rsid w:val="00A70F04"/>
    <w:rsid w:val="00A750FD"/>
    <w:rsid w:val="00A758F7"/>
    <w:rsid w:val="00A80135"/>
    <w:rsid w:val="00A80774"/>
    <w:rsid w:val="00A81B71"/>
    <w:rsid w:val="00A83453"/>
    <w:rsid w:val="00A8596F"/>
    <w:rsid w:val="00A864BC"/>
    <w:rsid w:val="00A92E45"/>
    <w:rsid w:val="00A93515"/>
    <w:rsid w:val="00A94AC9"/>
    <w:rsid w:val="00A95CD4"/>
    <w:rsid w:val="00A9637A"/>
    <w:rsid w:val="00AA0CEA"/>
    <w:rsid w:val="00AA78B9"/>
    <w:rsid w:val="00AB234A"/>
    <w:rsid w:val="00AB75F3"/>
    <w:rsid w:val="00AC1CFD"/>
    <w:rsid w:val="00AC1E6D"/>
    <w:rsid w:val="00AC35A9"/>
    <w:rsid w:val="00AC3ECD"/>
    <w:rsid w:val="00AC418E"/>
    <w:rsid w:val="00AC6EDD"/>
    <w:rsid w:val="00AD0558"/>
    <w:rsid w:val="00AD502E"/>
    <w:rsid w:val="00AD60CD"/>
    <w:rsid w:val="00AD6E34"/>
    <w:rsid w:val="00AD71F5"/>
    <w:rsid w:val="00AE1867"/>
    <w:rsid w:val="00AE2455"/>
    <w:rsid w:val="00AE3CE0"/>
    <w:rsid w:val="00AE6F1C"/>
    <w:rsid w:val="00AE6FC7"/>
    <w:rsid w:val="00B0281E"/>
    <w:rsid w:val="00B035CF"/>
    <w:rsid w:val="00B04A3A"/>
    <w:rsid w:val="00B10291"/>
    <w:rsid w:val="00B11388"/>
    <w:rsid w:val="00B12D20"/>
    <w:rsid w:val="00B15D7F"/>
    <w:rsid w:val="00B15FEE"/>
    <w:rsid w:val="00B2225D"/>
    <w:rsid w:val="00B27391"/>
    <w:rsid w:val="00B3084A"/>
    <w:rsid w:val="00B36141"/>
    <w:rsid w:val="00B42DE2"/>
    <w:rsid w:val="00B42F94"/>
    <w:rsid w:val="00B45D57"/>
    <w:rsid w:val="00B476BF"/>
    <w:rsid w:val="00B561FF"/>
    <w:rsid w:val="00B64162"/>
    <w:rsid w:val="00B64564"/>
    <w:rsid w:val="00B661C8"/>
    <w:rsid w:val="00B66D5B"/>
    <w:rsid w:val="00B671E7"/>
    <w:rsid w:val="00B761A0"/>
    <w:rsid w:val="00B8004C"/>
    <w:rsid w:val="00B813AA"/>
    <w:rsid w:val="00B85845"/>
    <w:rsid w:val="00B86EB4"/>
    <w:rsid w:val="00B92B0D"/>
    <w:rsid w:val="00B92E55"/>
    <w:rsid w:val="00B93B63"/>
    <w:rsid w:val="00BA57E6"/>
    <w:rsid w:val="00BA655C"/>
    <w:rsid w:val="00BA7416"/>
    <w:rsid w:val="00BB251C"/>
    <w:rsid w:val="00BB6D50"/>
    <w:rsid w:val="00BB7423"/>
    <w:rsid w:val="00BB7B65"/>
    <w:rsid w:val="00BB7ED5"/>
    <w:rsid w:val="00BC1878"/>
    <w:rsid w:val="00BC47E5"/>
    <w:rsid w:val="00BC6DB6"/>
    <w:rsid w:val="00BD3C1B"/>
    <w:rsid w:val="00BD66B7"/>
    <w:rsid w:val="00BD7504"/>
    <w:rsid w:val="00BE0486"/>
    <w:rsid w:val="00BE288E"/>
    <w:rsid w:val="00BE2A13"/>
    <w:rsid w:val="00BE2E0A"/>
    <w:rsid w:val="00BE4A66"/>
    <w:rsid w:val="00BE7538"/>
    <w:rsid w:val="00BF69F9"/>
    <w:rsid w:val="00C00BC0"/>
    <w:rsid w:val="00C01AE2"/>
    <w:rsid w:val="00C024B6"/>
    <w:rsid w:val="00C06170"/>
    <w:rsid w:val="00C12933"/>
    <w:rsid w:val="00C24303"/>
    <w:rsid w:val="00C3210B"/>
    <w:rsid w:val="00C34139"/>
    <w:rsid w:val="00C3574E"/>
    <w:rsid w:val="00C4372B"/>
    <w:rsid w:val="00C442F9"/>
    <w:rsid w:val="00C50484"/>
    <w:rsid w:val="00C55BAE"/>
    <w:rsid w:val="00C57733"/>
    <w:rsid w:val="00C678DC"/>
    <w:rsid w:val="00C73AC8"/>
    <w:rsid w:val="00C77344"/>
    <w:rsid w:val="00C86590"/>
    <w:rsid w:val="00C9406E"/>
    <w:rsid w:val="00C96507"/>
    <w:rsid w:val="00CA352E"/>
    <w:rsid w:val="00CA73CB"/>
    <w:rsid w:val="00CA76AD"/>
    <w:rsid w:val="00CA7B4C"/>
    <w:rsid w:val="00CB1E02"/>
    <w:rsid w:val="00CB37B3"/>
    <w:rsid w:val="00CB4DC2"/>
    <w:rsid w:val="00CB7473"/>
    <w:rsid w:val="00CC286E"/>
    <w:rsid w:val="00CC50B1"/>
    <w:rsid w:val="00CD1734"/>
    <w:rsid w:val="00CD2C40"/>
    <w:rsid w:val="00CD4083"/>
    <w:rsid w:val="00CD5FB2"/>
    <w:rsid w:val="00CD67AE"/>
    <w:rsid w:val="00CE05B3"/>
    <w:rsid w:val="00CE105D"/>
    <w:rsid w:val="00CE3103"/>
    <w:rsid w:val="00CE3367"/>
    <w:rsid w:val="00CE44BE"/>
    <w:rsid w:val="00CE58DC"/>
    <w:rsid w:val="00CF2436"/>
    <w:rsid w:val="00CF3EE0"/>
    <w:rsid w:val="00CF74B3"/>
    <w:rsid w:val="00D009C9"/>
    <w:rsid w:val="00D00FEA"/>
    <w:rsid w:val="00D11DD2"/>
    <w:rsid w:val="00D1646C"/>
    <w:rsid w:val="00D17A1D"/>
    <w:rsid w:val="00D20AC9"/>
    <w:rsid w:val="00D2349A"/>
    <w:rsid w:val="00D259E1"/>
    <w:rsid w:val="00D27D4C"/>
    <w:rsid w:val="00D311D7"/>
    <w:rsid w:val="00D42E09"/>
    <w:rsid w:val="00D44E00"/>
    <w:rsid w:val="00D45F4A"/>
    <w:rsid w:val="00D46FA5"/>
    <w:rsid w:val="00D508BD"/>
    <w:rsid w:val="00D52525"/>
    <w:rsid w:val="00D57600"/>
    <w:rsid w:val="00D57903"/>
    <w:rsid w:val="00D60BAC"/>
    <w:rsid w:val="00D66507"/>
    <w:rsid w:val="00D7017F"/>
    <w:rsid w:val="00D7140F"/>
    <w:rsid w:val="00D727C0"/>
    <w:rsid w:val="00D75657"/>
    <w:rsid w:val="00D767F7"/>
    <w:rsid w:val="00D76DA1"/>
    <w:rsid w:val="00D80E48"/>
    <w:rsid w:val="00D81885"/>
    <w:rsid w:val="00D82CC0"/>
    <w:rsid w:val="00D83F75"/>
    <w:rsid w:val="00D93B4D"/>
    <w:rsid w:val="00DA17F1"/>
    <w:rsid w:val="00DA4E80"/>
    <w:rsid w:val="00DA5C39"/>
    <w:rsid w:val="00DB0BE7"/>
    <w:rsid w:val="00DB11B0"/>
    <w:rsid w:val="00DB1295"/>
    <w:rsid w:val="00DB25BF"/>
    <w:rsid w:val="00DB3500"/>
    <w:rsid w:val="00DB4932"/>
    <w:rsid w:val="00DB5101"/>
    <w:rsid w:val="00DB689B"/>
    <w:rsid w:val="00DC2411"/>
    <w:rsid w:val="00DD3EFB"/>
    <w:rsid w:val="00DD5C00"/>
    <w:rsid w:val="00DD7047"/>
    <w:rsid w:val="00DE0030"/>
    <w:rsid w:val="00DE0458"/>
    <w:rsid w:val="00DE1C0C"/>
    <w:rsid w:val="00DE1F75"/>
    <w:rsid w:val="00DE28E6"/>
    <w:rsid w:val="00DE3501"/>
    <w:rsid w:val="00DE3F16"/>
    <w:rsid w:val="00E010CB"/>
    <w:rsid w:val="00E020CA"/>
    <w:rsid w:val="00E03B1C"/>
    <w:rsid w:val="00E04138"/>
    <w:rsid w:val="00E04964"/>
    <w:rsid w:val="00E0595E"/>
    <w:rsid w:val="00E06B83"/>
    <w:rsid w:val="00E07E55"/>
    <w:rsid w:val="00E151D9"/>
    <w:rsid w:val="00E16964"/>
    <w:rsid w:val="00E2322E"/>
    <w:rsid w:val="00E264D9"/>
    <w:rsid w:val="00E27621"/>
    <w:rsid w:val="00E30CE2"/>
    <w:rsid w:val="00E34CFB"/>
    <w:rsid w:val="00E35A1B"/>
    <w:rsid w:val="00E35A5B"/>
    <w:rsid w:val="00E366E6"/>
    <w:rsid w:val="00E36AC3"/>
    <w:rsid w:val="00E37AB5"/>
    <w:rsid w:val="00E4028E"/>
    <w:rsid w:val="00E41EF9"/>
    <w:rsid w:val="00E465E4"/>
    <w:rsid w:val="00E51558"/>
    <w:rsid w:val="00E55571"/>
    <w:rsid w:val="00E55FA7"/>
    <w:rsid w:val="00E64B17"/>
    <w:rsid w:val="00E67600"/>
    <w:rsid w:val="00E70909"/>
    <w:rsid w:val="00E75D4F"/>
    <w:rsid w:val="00E75EA7"/>
    <w:rsid w:val="00E76F4C"/>
    <w:rsid w:val="00E778AB"/>
    <w:rsid w:val="00E855FF"/>
    <w:rsid w:val="00E86CD6"/>
    <w:rsid w:val="00E87D09"/>
    <w:rsid w:val="00E87E66"/>
    <w:rsid w:val="00E90650"/>
    <w:rsid w:val="00E9490F"/>
    <w:rsid w:val="00E95761"/>
    <w:rsid w:val="00E97697"/>
    <w:rsid w:val="00EA2BBE"/>
    <w:rsid w:val="00EA47EC"/>
    <w:rsid w:val="00EB0BCE"/>
    <w:rsid w:val="00EB0C52"/>
    <w:rsid w:val="00EB162E"/>
    <w:rsid w:val="00EB52B0"/>
    <w:rsid w:val="00EC16ED"/>
    <w:rsid w:val="00EC5ED6"/>
    <w:rsid w:val="00EC667E"/>
    <w:rsid w:val="00ED1DCD"/>
    <w:rsid w:val="00ED246B"/>
    <w:rsid w:val="00ED7A1D"/>
    <w:rsid w:val="00EE002B"/>
    <w:rsid w:val="00EE09DE"/>
    <w:rsid w:val="00EE2E86"/>
    <w:rsid w:val="00EE4C06"/>
    <w:rsid w:val="00EE68BB"/>
    <w:rsid w:val="00EF0564"/>
    <w:rsid w:val="00EF086C"/>
    <w:rsid w:val="00EF5BB9"/>
    <w:rsid w:val="00F01856"/>
    <w:rsid w:val="00F0272A"/>
    <w:rsid w:val="00F10BF6"/>
    <w:rsid w:val="00F12B0B"/>
    <w:rsid w:val="00F17DB7"/>
    <w:rsid w:val="00F17FE6"/>
    <w:rsid w:val="00F2450A"/>
    <w:rsid w:val="00F26081"/>
    <w:rsid w:val="00F34B10"/>
    <w:rsid w:val="00F3700F"/>
    <w:rsid w:val="00F37BA2"/>
    <w:rsid w:val="00F430EC"/>
    <w:rsid w:val="00F4319E"/>
    <w:rsid w:val="00F43FE7"/>
    <w:rsid w:val="00F51A6D"/>
    <w:rsid w:val="00F5253E"/>
    <w:rsid w:val="00F53EA4"/>
    <w:rsid w:val="00F57992"/>
    <w:rsid w:val="00F6009F"/>
    <w:rsid w:val="00F617CC"/>
    <w:rsid w:val="00F63F9D"/>
    <w:rsid w:val="00F64AF9"/>
    <w:rsid w:val="00F678E1"/>
    <w:rsid w:val="00F736B6"/>
    <w:rsid w:val="00F750B9"/>
    <w:rsid w:val="00F7739D"/>
    <w:rsid w:val="00F81BC4"/>
    <w:rsid w:val="00F83626"/>
    <w:rsid w:val="00F83C22"/>
    <w:rsid w:val="00F843D2"/>
    <w:rsid w:val="00F85129"/>
    <w:rsid w:val="00F857CC"/>
    <w:rsid w:val="00F90667"/>
    <w:rsid w:val="00F9292B"/>
    <w:rsid w:val="00F94C76"/>
    <w:rsid w:val="00FB0474"/>
    <w:rsid w:val="00FB200A"/>
    <w:rsid w:val="00FB4C4D"/>
    <w:rsid w:val="00FB534B"/>
    <w:rsid w:val="00FB617E"/>
    <w:rsid w:val="00FC1BD8"/>
    <w:rsid w:val="00FC33FB"/>
    <w:rsid w:val="00FC62CF"/>
    <w:rsid w:val="00FD0261"/>
    <w:rsid w:val="00FD06CE"/>
    <w:rsid w:val="00FD2D8E"/>
    <w:rsid w:val="00FD311A"/>
    <w:rsid w:val="00FD3F0F"/>
    <w:rsid w:val="00FD5BB0"/>
    <w:rsid w:val="00FD5D31"/>
    <w:rsid w:val="00FE1958"/>
    <w:rsid w:val="00FE3FBA"/>
    <w:rsid w:val="00FE7897"/>
    <w:rsid w:val="00FF0ED7"/>
    <w:rsid w:val="00FF1B02"/>
    <w:rsid w:val="00FF31FD"/>
    <w:rsid w:val="00FF46B8"/>
    <w:rsid w:val="00FF502B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746248A"/>
  <w15:chartTrackingRefBased/>
  <w15:docId w15:val="{2CD7522F-3675-43D0-A2B3-222D12F7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C2"/>
    <w:rPr>
      <w:sz w:val="24"/>
      <w:szCs w:val="24"/>
    </w:rPr>
  </w:style>
  <w:style w:type="paragraph" w:styleId="Naslov1">
    <w:name w:val="heading 1"/>
    <w:basedOn w:val="Normal"/>
    <w:next w:val="Normal"/>
    <w:autoRedefine/>
    <w:qFormat/>
    <w:rsid w:val="00CB4DC2"/>
    <w:pPr>
      <w:numPr>
        <w:numId w:val="4"/>
      </w:numPr>
      <w:pBdr>
        <w:bottom w:val="single" w:sz="4" w:space="1" w:color="27632A"/>
      </w:pBdr>
      <w:spacing w:before="200" w:after="80"/>
      <w:ind w:left="431" w:hanging="431"/>
      <w:jc w:val="both"/>
      <w:outlineLvl w:val="0"/>
    </w:pPr>
    <w:rPr>
      <w:rFonts w:ascii="Cambria" w:eastAsia="Calibri" w:hAnsi="Cambria" w:cs="Calibri"/>
      <w:b/>
      <w:color w:val="632423"/>
      <w:sz w:val="32"/>
      <w:szCs w:val="40"/>
      <w:lang w:eastAsia="ja-JP"/>
    </w:rPr>
  </w:style>
  <w:style w:type="paragraph" w:styleId="Naslov2">
    <w:name w:val="heading 2"/>
    <w:basedOn w:val="Normal"/>
    <w:next w:val="Normal"/>
    <w:link w:val="Naslov2Char"/>
    <w:qFormat/>
    <w:rsid w:val="00CB4DC2"/>
    <w:pPr>
      <w:numPr>
        <w:ilvl w:val="1"/>
        <w:numId w:val="4"/>
      </w:numPr>
      <w:spacing w:before="200"/>
      <w:outlineLvl w:val="1"/>
    </w:pPr>
    <w:rPr>
      <w:rFonts w:eastAsia="Calibri" w:cs="Calibri"/>
      <w:color w:val="27632A"/>
      <w:sz w:val="28"/>
      <w:szCs w:val="28"/>
      <w:lang w:eastAsia="ja-JP"/>
    </w:rPr>
  </w:style>
  <w:style w:type="paragraph" w:styleId="Naslov3">
    <w:name w:val="heading 3"/>
    <w:basedOn w:val="Normal"/>
    <w:next w:val="Normal"/>
    <w:qFormat/>
    <w:rsid w:val="00CB4DC2"/>
    <w:pPr>
      <w:numPr>
        <w:ilvl w:val="2"/>
        <w:numId w:val="4"/>
      </w:numPr>
      <w:spacing w:before="200"/>
      <w:outlineLvl w:val="2"/>
    </w:pPr>
    <w:rPr>
      <w:rFonts w:ascii="Cambria" w:eastAsia="Calibri" w:hAnsi="Cambria" w:cs="Calibri"/>
      <w:color w:val="27632A"/>
      <w:lang w:eastAsia="ja-JP"/>
    </w:rPr>
  </w:style>
  <w:style w:type="paragraph" w:styleId="Naslov4">
    <w:name w:val="heading 4"/>
    <w:basedOn w:val="Normal"/>
    <w:next w:val="Normal"/>
    <w:qFormat/>
    <w:rsid w:val="00CB4DC2"/>
    <w:pPr>
      <w:numPr>
        <w:ilvl w:val="3"/>
        <w:numId w:val="4"/>
      </w:numPr>
      <w:spacing w:before="200"/>
      <w:outlineLvl w:val="3"/>
    </w:pPr>
    <w:rPr>
      <w:rFonts w:ascii="Cambria" w:eastAsia="Calibri" w:hAnsi="Cambria" w:cs="Calibri"/>
      <w:i/>
      <w:color w:val="C0504D"/>
      <w:lang w:eastAsia="ja-JP"/>
    </w:rPr>
  </w:style>
  <w:style w:type="paragraph" w:styleId="Naslov5">
    <w:name w:val="heading 5"/>
    <w:basedOn w:val="Normal"/>
    <w:next w:val="Normal"/>
    <w:qFormat/>
    <w:rsid w:val="00CB4DC2"/>
    <w:pPr>
      <w:numPr>
        <w:ilvl w:val="4"/>
        <w:numId w:val="4"/>
      </w:numPr>
      <w:spacing w:before="200"/>
      <w:outlineLvl w:val="4"/>
    </w:pPr>
    <w:rPr>
      <w:rFonts w:ascii="Cambria" w:eastAsia="Calibri" w:hAnsi="Cambria" w:cs="Calibri"/>
      <w:b/>
      <w:color w:val="943634"/>
      <w:sz w:val="20"/>
      <w:szCs w:val="20"/>
      <w:lang w:eastAsia="ja-JP"/>
    </w:rPr>
  </w:style>
  <w:style w:type="paragraph" w:styleId="Naslov6">
    <w:name w:val="heading 6"/>
    <w:basedOn w:val="Normal"/>
    <w:next w:val="Normal"/>
    <w:qFormat/>
    <w:rsid w:val="00CB4DC2"/>
    <w:pPr>
      <w:numPr>
        <w:ilvl w:val="5"/>
        <w:numId w:val="4"/>
      </w:numPr>
      <w:spacing w:before="200"/>
      <w:outlineLvl w:val="5"/>
    </w:pPr>
    <w:rPr>
      <w:rFonts w:ascii="Cambria" w:eastAsia="Calibri" w:hAnsi="Cambria" w:cs="Calibri"/>
      <w:b/>
      <w:i/>
      <w:color w:val="943634"/>
      <w:sz w:val="20"/>
      <w:szCs w:val="20"/>
      <w:lang w:eastAsia="ja-JP"/>
    </w:rPr>
  </w:style>
  <w:style w:type="paragraph" w:styleId="Naslov7">
    <w:name w:val="heading 7"/>
    <w:basedOn w:val="Normal"/>
    <w:next w:val="Normal"/>
    <w:qFormat/>
    <w:rsid w:val="00CB4DC2"/>
    <w:pPr>
      <w:numPr>
        <w:ilvl w:val="6"/>
        <w:numId w:val="4"/>
      </w:numPr>
      <w:spacing w:before="200"/>
      <w:outlineLvl w:val="6"/>
    </w:pPr>
    <w:rPr>
      <w:rFonts w:ascii="Cambria" w:eastAsia="Calibri" w:hAnsi="Cambria" w:cs="Calibri"/>
      <w:b/>
      <w:color w:val="4F81BD"/>
      <w:sz w:val="20"/>
      <w:szCs w:val="20"/>
      <w:lang w:eastAsia="ja-JP"/>
    </w:rPr>
  </w:style>
  <w:style w:type="paragraph" w:styleId="Naslov8">
    <w:name w:val="heading 8"/>
    <w:basedOn w:val="Normal"/>
    <w:next w:val="Normal"/>
    <w:qFormat/>
    <w:rsid w:val="00CB4DC2"/>
    <w:pPr>
      <w:numPr>
        <w:ilvl w:val="7"/>
        <w:numId w:val="4"/>
      </w:numPr>
      <w:spacing w:before="200"/>
      <w:outlineLvl w:val="7"/>
    </w:pPr>
    <w:rPr>
      <w:rFonts w:ascii="Cambria" w:eastAsia="Calibri" w:hAnsi="Cambria" w:cs="Calibri"/>
      <w:b/>
      <w:i/>
      <w:color w:val="4F81BD"/>
      <w:sz w:val="20"/>
      <w:szCs w:val="20"/>
      <w:lang w:eastAsia="ja-JP"/>
    </w:rPr>
  </w:style>
  <w:style w:type="paragraph" w:styleId="Naslov9">
    <w:name w:val="heading 9"/>
    <w:basedOn w:val="Normal"/>
    <w:next w:val="Normal"/>
    <w:qFormat/>
    <w:rsid w:val="00CB4DC2"/>
    <w:pPr>
      <w:numPr>
        <w:ilvl w:val="8"/>
        <w:numId w:val="4"/>
      </w:numPr>
      <w:spacing w:before="200"/>
      <w:outlineLvl w:val="8"/>
    </w:pPr>
    <w:rPr>
      <w:rFonts w:ascii="Cambria" w:eastAsia="Calibri" w:hAnsi="Cambria" w:cs="Calibri"/>
      <w:b/>
      <w:color w:val="17365D"/>
      <w:sz w:val="20"/>
      <w:szCs w:val="20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073DC2"/>
    <w:pPr>
      <w:ind w:left="720"/>
    </w:pPr>
    <w:rPr>
      <w:rFonts w:eastAsia="Calibri"/>
    </w:rPr>
  </w:style>
  <w:style w:type="paragraph" w:styleId="Obinitekst">
    <w:name w:val="Plain Text"/>
    <w:basedOn w:val="Normal"/>
    <w:unhideWhenUsed/>
    <w:rsid w:val="00073DC2"/>
    <w:rPr>
      <w:rFonts w:ascii="Consolas" w:eastAsia="Calibri" w:hAnsi="Consolas"/>
      <w:sz w:val="21"/>
      <w:szCs w:val="21"/>
      <w:lang w:eastAsia="en-US"/>
    </w:rPr>
  </w:style>
  <w:style w:type="character" w:customStyle="1" w:styleId="Naslov2Char">
    <w:name w:val="Naslov 2 Char"/>
    <w:link w:val="Naslov2"/>
    <w:locked/>
    <w:rsid w:val="00CB4DC2"/>
    <w:rPr>
      <w:rFonts w:eastAsia="Calibri" w:cs="Calibri"/>
      <w:color w:val="27632A"/>
      <w:sz w:val="28"/>
      <w:szCs w:val="28"/>
      <w:lang w:val="hr-HR" w:eastAsia="ja-JP" w:bidi="ar-SA"/>
    </w:rPr>
  </w:style>
  <w:style w:type="paragraph" w:customStyle="1" w:styleId="CharCharCharCharCharCharChar">
    <w:name w:val="Char Char Char Char Char Char Char"/>
    <w:basedOn w:val="Normal"/>
    <w:rsid w:val="00482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rsid w:val="00794DF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94DF5"/>
    <w:rPr>
      <w:rFonts w:ascii="Tahoma" w:hAnsi="Tahoma" w:cs="Tahoma"/>
      <w:sz w:val="16"/>
      <w:szCs w:val="16"/>
      <w:lang w:val="hr-HR" w:eastAsia="hr-HR"/>
    </w:rPr>
  </w:style>
  <w:style w:type="character" w:styleId="Referencakomentara">
    <w:name w:val="annotation reference"/>
    <w:uiPriority w:val="99"/>
    <w:unhideWhenUsed/>
    <w:rsid w:val="007003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00385"/>
    <w:rPr>
      <w:rFonts w:ascii="Arial" w:hAnsi="Arial" w:cs="Arial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700385"/>
    <w:rPr>
      <w:rFonts w:ascii="Arial" w:hAnsi="Arial" w:cs="Arial"/>
    </w:rPr>
  </w:style>
  <w:style w:type="paragraph" w:styleId="Predmetkomentara">
    <w:name w:val="annotation subject"/>
    <w:basedOn w:val="Tekstkomentara"/>
    <w:next w:val="Tekstkomentara"/>
    <w:link w:val="PredmetkomentaraChar"/>
    <w:rsid w:val="00700385"/>
    <w:rPr>
      <w:rFonts w:ascii="Times New Roman" w:hAnsi="Times New Roman" w:cs="Times New Roman"/>
      <w:b/>
      <w:bCs/>
    </w:rPr>
  </w:style>
  <w:style w:type="character" w:customStyle="1" w:styleId="PredmetkomentaraChar">
    <w:name w:val="Predmet komentara Char"/>
    <w:link w:val="Predmetkomentara"/>
    <w:rsid w:val="00700385"/>
    <w:rPr>
      <w:rFonts w:ascii="Arial" w:hAnsi="Arial" w:cs="Arial"/>
      <w:b/>
      <w:bCs/>
    </w:rPr>
  </w:style>
  <w:style w:type="paragraph" w:customStyle="1" w:styleId="CharChar2CharChar1CharCharCharChar">
    <w:name w:val="Char Char2 Char Char1 Char Char Char Char"/>
    <w:basedOn w:val="Normal"/>
    <w:rsid w:val="0030271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aglavlje">
    <w:name w:val="header"/>
    <w:basedOn w:val="Normal"/>
    <w:link w:val="ZaglavljeChar"/>
    <w:rsid w:val="007E71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E71D6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7E71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71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9773-5D58-483A-8EB2-1741E0A2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2341</Words>
  <Characters>13853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UVOD</vt:lpstr>
      <vt:lpstr>UVOD</vt:lpstr>
    </vt:vector>
  </TitlesOfParts>
  <Company>hv</Company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UVOD</dc:title>
  <dc:subject/>
  <dc:creator>hv</dc:creator>
  <cp:keywords/>
  <cp:lastModifiedBy>Mario Đurić</cp:lastModifiedBy>
  <cp:revision>11</cp:revision>
  <cp:lastPrinted>2021-08-19T10:35:00Z</cp:lastPrinted>
  <dcterms:created xsi:type="dcterms:W3CDTF">2021-08-25T11:30:00Z</dcterms:created>
  <dcterms:modified xsi:type="dcterms:W3CDTF">2021-09-06T11:15:00Z</dcterms:modified>
</cp:coreProperties>
</file>